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"/>
        <w:gridCol w:w="10794"/>
        <w:gridCol w:w="213"/>
      </w:tblGrid>
      <w:tr w:rsidR="008C26AD" w:rsidTr="008C26A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7" w:type="dxa"/>
          <w:wAfter w:w="213" w:type="dxa"/>
          <w:trHeight w:val="15358"/>
        </w:trPr>
        <w:tc>
          <w:tcPr>
            <w:tcW w:w="10794" w:type="dxa"/>
          </w:tcPr>
          <w:p w:rsidR="008C26AD" w:rsidRPr="001D1588" w:rsidRDefault="008C26AD" w:rsidP="008C2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46</w:t>
            </w:r>
          </w:p>
          <w:p w:rsidR="008C26AD" w:rsidRPr="001D1588" w:rsidRDefault="008C26AD" w:rsidP="008C2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D1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января 2025</w:t>
            </w:r>
            <w:r w:rsidRPr="001D1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8C26AD" w:rsidRPr="001D1588" w:rsidRDefault="008C26AD" w:rsidP="008C2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588"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8C26AD" w:rsidRPr="008C26AD" w:rsidRDefault="008C26AD" w:rsidP="008C26AD">
            <w:pPr>
              <w:pStyle w:val="a5"/>
              <w:spacing w:before="68" w:line="244" w:lineRule="auto"/>
              <w:ind w:firstLine="1093"/>
              <w:jc w:val="center"/>
            </w:pPr>
            <w:r w:rsidRPr="008C26AD">
              <w:t>«Основные</w:t>
            </w:r>
            <w:r w:rsidRPr="008C26AD">
              <w:rPr>
                <w:spacing w:val="13"/>
              </w:rPr>
              <w:t xml:space="preserve"> </w:t>
            </w:r>
            <w:r>
              <w:t>изменения</w:t>
            </w:r>
            <w:r w:rsidRPr="008C26AD">
              <w:rPr>
                <w:spacing w:val="11"/>
              </w:rPr>
              <w:t xml:space="preserve"> </w:t>
            </w:r>
            <w:r w:rsidRPr="008C26AD">
              <w:t>в</w:t>
            </w:r>
            <w:r w:rsidRPr="008C26AD">
              <w:rPr>
                <w:spacing w:val="-14"/>
              </w:rPr>
              <w:t xml:space="preserve"> </w:t>
            </w:r>
            <w:r w:rsidRPr="008C26AD">
              <w:t>Методических</w:t>
            </w:r>
            <w:r w:rsidRPr="008C26AD">
              <w:rPr>
                <w:spacing w:val="13"/>
              </w:rPr>
              <w:t xml:space="preserve"> </w:t>
            </w:r>
            <w:r w:rsidRPr="008C26AD">
              <w:t>рекомендациях</w:t>
            </w:r>
            <w:r w:rsidRPr="008C26AD">
              <w:rPr>
                <w:spacing w:val="13"/>
              </w:rPr>
              <w:t xml:space="preserve"> </w:t>
            </w:r>
            <w:r w:rsidRPr="008C26AD">
              <w:t>по</w:t>
            </w:r>
            <w:r w:rsidRPr="008C26AD">
              <w:rPr>
                <w:spacing w:val="-4"/>
              </w:rPr>
              <w:t xml:space="preserve"> </w:t>
            </w:r>
            <w:r w:rsidRPr="008C26AD">
              <w:t>вопросам</w:t>
            </w:r>
            <w:r w:rsidRPr="008C26AD">
              <w:rPr>
                <w:spacing w:val="1"/>
              </w:rPr>
              <w:t xml:space="preserve"> </w:t>
            </w:r>
            <w:r w:rsidRPr="008C26AD">
              <w:t>представления</w:t>
            </w:r>
            <w:r w:rsidRPr="008C26AD">
              <w:rPr>
                <w:spacing w:val="23"/>
              </w:rPr>
              <w:t xml:space="preserve"> </w:t>
            </w:r>
            <w:r w:rsidRPr="008C26AD">
              <w:t>сведений</w:t>
            </w:r>
            <w:r w:rsidRPr="008C26AD">
              <w:rPr>
                <w:spacing w:val="9"/>
              </w:rPr>
              <w:t xml:space="preserve"> </w:t>
            </w:r>
            <w:r w:rsidRPr="008C26AD">
              <w:t>о</w:t>
            </w:r>
            <w:r w:rsidRPr="008C26AD">
              <w:rPr>
                <w:spacing w:val="-17"/>
              </w:rPr>
              <w:t xml:space="preserve"> </w:t>
            </w:r>
            <w:r w:rsidRPr="008C26AD">
              <w:t>доходах,</w:t>
            </w:r>
            <w:r w:rsidRPr="008C26AD">
              <w:rPr>
                <w:spacing w:val="21"/>
              </w:rPr>
              <w:t xml:space="preserve"> </w:t>
            </w:r>
            <w:r w:rsidRPr="008C26AD">
              <w:t>расходах,</w:t>
            </w:r>
            <w:r w:rsidRPr="008C26AD">
              <w:rPr>
                <w:spacing w:val="-3"/>
              </w:rPr>
              <w:t xml:space="preserve"> </w:t>
            </w:r>
            <w:r w:rsidRPr="008C26AD">
              <w:t>об</w:t>
            </w:r>
            <w:r w:rsidRPr="008C26AD">
              <w:rPr>
                <w:spacing w:val="-4"/>
              </w:rPr>
              <w:t xml:space="preserve"> </w:t>
            </w:r>
            <w:r w:rsidRPr="008C26AD">
              <w:t>имуществе</w:t>
            </w:r>
            <w:r w:rsidRPr="008C26AD">
              <w:rPr>
                <w:spacing w:val="22"/>
              </w:rPr>
              <w:t xml:space="preserve"> </w:t>
            </w:r>
            <w:r w:rsidRPr="008C26AD">
              <w:t>и</w:t>
            </w:r>
            <w:r w:rsidRPr="008C26AD">
              <w:rPr>
                <w:spacing w:val="-3"/>
              </w:rPr>
              <w:t xml:space="preserve"> </w:t>
            </w:r>
            <w:r w:rsidRPr="008C26AD">
              <w:t>обязательствах</w:t>
            </w:r>
            <w:r w:rsidRPr="008C26AD">
              <w:rPr>
                <w:spacing w:val="-67"/>
              </w:rPr>
              <w:t xml:space="preserve"> </w:t>
            </w:r>
            <w:r w:rsidRPr="008C26AD">
              <w:t>имущественного</w:t>
            </w:r>
            <w:r w:rsidRPr="008C26AD">
              <w:rPr>
                <w:spacing w:val="-6"/>
              </w:rPr>
              <w:t xml:space="preserve"> </w:t>
            </w:r>
            <w:r w:rsidRPr="008C26AD">
              <w:t>характера</w:t>
            </w:r>
            <w:r w:rsidRPr="008C26AD">
              <w:rPr>
                <w:spacing w:val="14"/>
              </w:rPr>
              <w:t xml:space="preserve"> </w:t>
            </w:r>
            <w:r w:rsidRPr="008C26AD">
              <w:t>и</w:t>
            </w:r>
            <w:r w:rsidRPr="008C26AD">
              <w:rPr>
                <w:spacing w:val="-13"/>
              </w:rPr>
              <w:t xml:space="preserve"> </w:t>
            </w:r>
            <w:r w:rsidRPr="008C26AD">
              <w:t>заполнени</w:t>
            </w:r>
            <w:r>
              <w:t>и</w:t>
            </w:r>
            <w:r w:rsidRPr="008C26AD">
              <w:rPr>
                <w:spacing w:val="19"/>
              </w:rPr>
              <w:t xml:space="preserve"> </w:t>
            </w:r>
            <w:r w:rsidRPr="008C26AD">
              <w:t>соответствующей</w:t>
            </w:r>
            <w:r w:rsidRPr="008C26AD">
              <w:rPr>
                <w:spacing w:val="-13"/>
              </w:rPr>
              <w:t xml:space="preserve"> </w:t>
            </w:r>
            <w:r w:rsidRPr="008C26AD">
              <w:t>формы справки в</w:t>
            </w:r>
            <w:r w:rsidRPr="008C26AD">
              <w:rPr>
                <w:spacing w:val="-13"/>
              </w:rPr>
              <w:t xml:space="preserve"> </w:t>
            </w:r>
            <w:r w:rsidRPr="008C26AD">
              <w:t>2025</w:t>
            </w:r>
            <w:r w:rsidRPr="008C26AD">
              <w:rPr>
                <w:spacing w:val="-2"/>
              </w:rPr>
              <w:t xml:space="preserve"> </w:t>
            </w:r>
            <w:r w:rsidRPr="008C26AD">
              <w:t>году</w:t>
            </w:r>
            <w:r w:rsidRPr="008C26AD">
              <w:rPr>
                <w:spacing w:val="6"/>
              </w:rPr>
              <w:t xml:space="preserve"> </w:t>
            </w:r>
            <w:r w:rsidRPr="008C26AD">
              <w:t>(за</w:t>
            </w:r>
            <w:r w:rsidRPr="008C26AD">
              <w:rPr>
                <w:spacing w:val="7"/>
              </w:rPr>
              <w:t xml:space="preserve"> </w:t>
            </w:r>
            <w:r w:rsidRPr="008C26AD">
              <w:t>отчетный</w:t>
            </w:r>
            <w:r w:rsidRPr="008C26AD">
              <w:rPr>
                <w:spacing w:val="18"/>
              </w:rPr>
              <w:t xml:space="preserve"> </w:t>
            </w:r>
            <w:r w:rsidRPr="008C26AD">
              <w:t>2024</w:t>
            </w:r>
            <w:r w:rsidRPr="008C26AD">
              <w:rPr>
                <w:spacing w:val="8"/>
              </w:rPr>
              <w:t xml:space="preserve"> </w:t>
            </w:r>
            <w:r w:rsidRPr="008C26AD">
              <w:t>год)»</w:t>
            </w:r>
          </w:p>
          <w:p w:rsidR="008C26AD" w:rsidRPr="001D1588" w:rsidRDefault="008C26AD" w:rsidP="008C26AD">
            <w:pPr>
              <w:pStyle w:val="a3"/>
              <w:spacing w:before="4"/>
              <w:ind w:left="182"/>
              <w:jc w:val="left"/>
              <w:rPr>
                <w:rFonts w:ascii="Times New Roman"/>
                <w:sz w:val="24"/>
                <w:szCs w:val="24"/>
              </w:rPr>
            </w:pPr>
          </w:p>
          <w:p w:rsidR="008C26AD" w:rsidRPr="008C26AD" w:rsidRDefault="008C26AD" w:rsidP="008C26AD">
            <w:pPr>
              <w:pStyle w:val="a8"/>
              <w:ind w:left="18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AD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Министерством</w:t>
            </w:r>
            <w:r w:rsidRPr="008C26A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0"/>
                <w:sz w:val="28"/>
                <w:szCs w:val="28"/>
              </w:rPr>
              <w:t>труда и социальной</w:t>
            </w:r>
            <w:r w:rsidRPr="008C26A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защиты Российской</w:t>
            </w:r>
            <w:r w:rsidRPr="008C26A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Федерации</w:t>
            </w:r>
            <w:r w:rsidRPr="008C26A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0"/>
                <w:sz w:val="28"/>
                <w:szCs w:val="28"/>
              </w:rPr>
              <w:t>ежегодно</w:t>
            </w:r>
            <w:r w:rsidRPr="008C26A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обновляются</w:t>
            </w:r>
            <w:r w:rsidRPr="008C26A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Методические</w:t>
            </w:r>
            <w:r w:rsidRPr="008C26A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рекомендации</w:t>
            </w:r>
            <w:r w:rsidRPr="008C26A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 вопросам представления</w:t>
            </w:r>
            <w:r w:rsidRPr="008C26A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сведений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доходах,</w:t>
            </w:r>
            <w:r w:rsidRPr="008C26A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расходах,</w:t>
            </w:r>
            <w:r w:rsidRPr="008C26A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</w:t>
            </w:r>
            <w:r w:rsidRPr="008C26A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имуществе</w:t>
            </w:r>
            <w:r w:rsidRPr="008C26A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8C26A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обязательствах</w:t>
            </w:r>
            <w:r w:rsidRPr="008C26A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имущественного</w:t>
            </w:r>
            <w:r w:rsidRPr="008C26A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характера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заполнения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соответствующей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формы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справки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(далее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соответственно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—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Методические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рекомендации,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сведения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доходах).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</w:p>
          <w:p w:rsidR="008C26AD" w:rsidRPr="008C26AD" w:rsidRDefault="008C26AD" w:rsidP="008C26AD">
            <w:pPr>
              <w:pStyle w:val="a8"/>
              <w:ind w:left="182" w:firstLine="851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8C26A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При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использовании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указанных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Методических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рекомендаций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предлагается</w:t>
            </w:r>
            <w:r w:rsidRPr="008C26A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z w:val="28"/>
                <w:szCs w:val="28"/>
              </w:rPr>
              <w:t>обратить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8C26A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C26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r w:rsidRPr="008C26A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hAnsi="Times New Roman" w:cs="Times New Roman"/>
                <w:sz w:val="28"/>
                <w:szCs w:val="28"/>
              </w:rPr>
              <w:t>изменения:</w:t>
            </w:r>
            <w:r w:rsidRPr="008C26A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8C26AD" w:rsidRPr="008C26AD" w:rsidRDefault="008C26AD" w:rsidP="008C26AD">
            <w:pPr>
              <w:pStyle w:val="a8"/>
              <w:ind w:left="18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пунктом 50 указанных Методических рекомендаций справка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с использованием актуальной на дату представления Сведений версии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специального программного обеспечения «Справки БК» (в настоящее время актуальна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>версия 2.5.5 от 31.01.2024), размещенного на официальном сайте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8C2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(http://www.kremlin.ru/structure/additional/12)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26AD" w:rsidRPr="008C26AD" w:rsidRDefault="008C26AD" w:rsidP="008C26AD">
            <w:pPr>
              <w:pStyle w:val="a8"/>
              <w:ind w:left="18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пункту 53 Методических рекомендаций не допускаются ситуации,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которых дата печати справки, автоматически формируемая в правом нижнем углу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листа справки, будет ранее отчетной даты, указываемой на титульном листе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справки, или позднее даты заверения достоверности и полноты на последнем листе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справки. Также не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рекомендуется осуществлять подмену листов справки, листами,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напечатанными в иной момент времени. При этом листы одной справки не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менять и вставлять в другие справки, даже если они содержат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идентичную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информацию и время печати.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Кроме того, в соответствии с пунктом 155 Методических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рекомендаций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 целях соблюдения требований </w:t>
            </w:r>
            <w:proofErr w:type="spellStart"/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законодательства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 для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получения достоверных сведений об открытых счетах в банках (иных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кредитных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организациях) для заполнения раздела 4 «Сведения о счетах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 банках и иных кредитных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организациях» справки необходимо обращаться</w:t>
            </w:r>
            <w:r w:rsidRPr="008C2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 соответствующий банк (кредитную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организацию) в рамках Указания Банка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России № 5798-У (далее – Указание № 5798-У).</w:t>
            </w:r>
          </w:p>
          <w:p w:rsidR="008C26AD" w:rsidRPr="008C26AD" w:rsidRDefault="008C26AD" w:rsidP="008C26AD">
            <w:pPr>
              <w:pStyle w:val="a8"/>
              <w:ind w:left="182" w:firstLine="85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Данное Указание Банка России допускает возможность получения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необходимой информации не только лицом, с которым заключен соответствующий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договор (договоры), но и его представителем.</w:t>
            </w:r>
          </w:p>
          <w:p w:rsidR="008C26AD" w:rsidRDefault="008C26AD" w:rsidP="008C26AD">
            <w:pPr>
              <w:pStyle w:val="a8"/>
              <w:ind w:left="182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Одновременно предусматривается возможность получения такой информации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использованием средств дистанционного обслуживания клиента. В этой связи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рекомендуется заполнять указанный раздел справки на основании информации,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полученной в рамках Указания № 5798-У, которая является официальной. Для счета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цифрового рубля информацию целесообразно получать непосредственно у Банка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России, который открывает такой счет. Согласно пункту 167 Методических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рекомендаций в качестве дополнительного источника информации рекомендуется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использовать сведения о счетах из личного кабинета налогоплательщика ФНС России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(далее – Личный кабинет).</w:t>
            </w:r>
          </w:p>
        </w:tc>
      </w:tr>
      <w:tr w:rsidR="008C26AD" w:rsidTr="008C26AD">
        <w:tblPrEx>
          <w:tblCellMar>
            <w:top w:w="0" w:type="dxa"/>
            <w:bottom w:w="0" w:type="dxa"/>
          </w:tblCellMar>
        </w:tblPrEx>
        <w:trPr>
          <w:trHeight w:val="11808"/>
        </w:trPr>
        <w:tc>
          <w:tcPr>
            <w:tcW w:w="11194" w:type="dxa"/>
            <w:gridSpan w:val="3"/>
          </w:tcPr>
          <w:p w:rsidR="008C26AD" w:rsidRDefault="008C26AD" w:rsidP="008C26AD">
            <w:pPr>
              <w:pStyle w:val="a8"/>
              <w:ind w:left="369" w:firstLine="851"/>
              <w:jc w:val="both"/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</w:pPr>
          </w:p>
          <w:p w:rsidR="008C26AD" w:rsidRPr="008C26AD" w:rsidRDefault="008C26AD" w:rsidP="008C26AD">
            <w:pPr>
              <w:pStyle w:val="a8"/>
              <w:ind w:left="369" w:firstLine="885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Порядок предоставления заявителю сведений о банковских счетах налоговыми органами изложен на официальном сайте ФНС России </w:t>
            </w:r>
            <w:r w:rsidRPr="008C26A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(https://www.nalog.ru/rn77/related_activities/accounting/bank_account/).</w:t>
            </w:r>
          </w:p>
          <w:p w:rsidR="008C26AD" w:rsidRDefault="008C26AD" w:rsidP="008C26AD">
            <w:pPr>
              <w:pStyle w:val="a8"/>
              <w:ind w:left="369" w:firstLine="851"/>
              <w:jc w:val="both"/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</w:pPr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Необходимо принять во внимание, что сведения о счетах (вкладах) физических лиц представляются банками в налоговые органы в соответствии с пунктом 1 статьи 86 Налогового кодекса Российской Федерации с 1 июля 2014 года. Информацией о ранее открытых физическими лицами счетах в банках (если такие счета не закрывались либо по ним не было изменений) налоговые органы не располагают. Также налоговые органы не располагают информацией о движении денежных средств по счетам. В случае наличия различий в информации о банковских счетах, представленных ФНС России и в соответствии с Указанием № 5798-У банком (иной кредитной организацией), приоритет рекомендуется отдавать информации, полученной в рамках Указания № 5798-У. Для минимизации ошибочного (неточного) заполнения раздела 4 «Сведения о счетах в банках и иных кредитных организациях» необходимо прикладывать к справке распечатку сведений о счетах, указанных в Личном кабинете, и копии, полученных из кредитных организаций и </w:t>
            </w:r>
            <w:proofErr w:type="spellStart"/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некредитных</w:t>
            </w:r>
            <w:proofErr w:type="spellEnd"/>
            <w:r w:rsidRPr="008C26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финансовых организаций, сведений о наличии счетов и иной информации, необходимой для представления сведений о доходах, расходах, об имуществе и обязательствах имущественного характера (сведения для госслужащих по единой форме, установленной Указанием № 5798-У). Также в связи с тем, что пунктом 37 Методических рекомендаций представление уточненных Сведений за предыдущие декларационные кампании не предусмотрено, то в случае выявления служащим, что в Сведениях за предыдущие декларационные кампании имеются ошибки либо не отражены (не полностью отражены) какие-либо сведения, рекомендуется к представляемой в 2025 году справке приложить соответствующие письменные пояснения и необходимые подтверждающие документы (например, ситуации, связанные с выявлением счета в кредитной организации, отрытого в 2023 году (или ранее), но не отраженного в справке, представленной в рамках декларационной кампании 2024 года, к письменным пояснениям прикладывается выписка (справка) из банка (иной кредитной организации) по счету, который не был отражен). Должностным лицам органов местного самоуправления при предоставлении Сведений в ходе декларационной кампании 2025 года необходимо руководствоваться положениями Методических рекомендаций. Методические рекомендации размещены на официальном сайте Минтруда России в информационно – телекоммуникационной сети «Интернет»: </w:t>
            </w:r>
            <w:r w:rsidRPr="008C26A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https://mintrud.gov.ru/ministry/programms/anticorruption/9/5.</w:t>
            </w:r>
          </w:p>
        </w:tc>
      </w:tr>
    </w:tbl>
    <w:p w:rsidR="00EE6D2E" w:rsidRPr="008C26AD" w:rsidRDefault="00EE6D2E" w:rsidP="00AB1D8A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E6D2E" w:rsidRPr="008C26AD" w:rsidSect="00407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C4DD5"/>
    <w:multiLevelType w:val="hybridMultilevel"/>
    <w:tmpl w:val="33AE1584"/>
    <w:lvl w:ilvl="0" w:tplc="BA086F30">
      <w:start w:val="1"/>
      <w:numFmt w:val="decimal"/>
      <w:lvlText w:val="%1."/>
      <w:lvlJc w:val="left"/>
      <w:pPr>
        <w:ind w:left="153" w:hanging="268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EB70C63A">
      <w:numFmt w:val="bullet"/>
      <w:lvlText w:val="•"/>
      <w:lvlJc w:val="left"/>
      <w:pPr>
        <w:ind w:left="1199" w:hanging="268"/>
      </w:pPr>
      <w:rPr>
        <w:rFonts w:hint="default"/>
        <w:lang w:val="ru-RU" w:eastAsia="en-US" w:bidi="ar-SA"/>
      </w:rPr>
    </w:lvl>
    <w:lvl w:ilvl="2" w:tplc="48EAAAD8">
      <w:numFmt w:val="bullet"/>
      <w:lvlText w:val="•"/>
      <w:lvlJc w:val="left"/>
      <w:pPr>
        <w:ind w:left="2239" w:hanging="268"/>
      </w:pPr>
      <w:rPr>
        <w:rFonts w:hint="default"/>
        <w:lang w:val="ru-RU" w:eastAsia="en-US" w:bidi="ar-SA"/>
      </w:rPr>
    </w:lvl>
    <w:lvl w:ilvl="3" w:tplc="D506EB36">
      <w:numFmt w:val="bullet"/>
      <w:lvlText w:val="•"/>
      <w:lvlJc w:val="left"/>
      <w:pPr>
        <w:ind w:left="3279" w:hanging="268"/>
      </w:pPr>
      <w:rPr>
        <w:rFonts w:hint="default"/>
        <w:lang w:val="ru-RU" w:eastAsia="en-US" w:bidi="ar-SA"/>
      </w:rPr>
    </w:lvl>
    <w:lvl w:ilvl="4" w:tplc="F4089F08">
      <w:numFmt w:val="bullet"/>
      <w:lvlText w:val="•"/>
      <w:lvlJc w:val="left"/>
      <w:pPr>
        <w:ind w:left="4319" w:hanging="268"/>
      </w:pPr>
      <w:rPr>
        <w:rFonts w:hint="default"/>
        <w:lang w:val="ru-RU" w:eastAsia="en-US" w:bidi="ar-SA"/>
      </w:rPr>
    </w:lvl>
    <w:lvl w:ilvl="5" w:tplc="7458F608">
      <w:numFmt w:val="bullet"/>
      <w:lvlText w:val="•"/>
      <w:lvlJc w:val="left"/>
      <w:pPr>
        <w:ind w:left="5359" w:hanging="268"/>
      </w:pPr>
      <w:rPr>
        <w:rFonts w:hint="default"/>
        <w:lang w:val="ru-RU" w:eastAsia="en-US" w:bidi="ar-SA"/>
      </w:rPr>
    </w:lvl>
    <w:lvl w:ilvl="6" w:tplc="48EE1E7E">
      <w:numFmt w:val="bullet"/>
      <w:lvlText w:val="•"/>
      <w:lvlJc w:val="left"/>
      <w:pPr>
        <w:ind w:left="6399" w:hanging="268"/>
      </w:pPr>
      <w:rPr>
        <w:rFonts w:hint="default"/>
        <w:lang w:val="ru-RU" w:eastAsia="en-US" w:bidi="ar-SA"/>
      </w:rPr>
    </w:lvl>
    <w:lvl w:ilvl="7" w:tplc="4FC813BC">
      <w:numFmt w:val="bullet"/>
      <w:lvlText w:val="•"/>
      <w:lvlJc w:val="left"/>
      <w:pPr>
        <w:ind w:left="7439" w:hanging="268"/>
      </w:pPr>
      <w:rPr>
        <w:rFonts w:hint="default"/>
        <w:lang w:val="ru-RU" w:eastAsia="en-US" w:bidi="ar-SA"/>
      </w:rPr>
    </w:lvl>
    <w:lvl w:ilvl="8" w:tplc="71F4211C">
      <w:numFmt w:val="bullet"/>
      <w:lvlText w:val="•"/>
      <w:lvlJc w:val="left"/>
      <w:pPr>
        <w:ind w:left="8479" w:hanging="2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D2E"/>
    <w:rsid w:val="00154CBB"/>
    <w:rsid w:val="00244394"/>
    <w:rsid w:val="00245912"/>
    <w:rsid w:val="00336D27"/>
    <w:rsid w:val="00407118"/>
    <w:rsid w:val="00427477"/>
    <w:rsid w:val="008C26AD"/>
    <w:rsid w:val="00AB1D8A"/>
    <w:rsid w:val="00BA5A5D"/>
    <w:rsid w:val="00C6155D"/>
    <w:rsid w:val="00CC0BE4"/>
    <w:rsid w:val="00E70C09"/>
    <w:rsid w:val="00E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6D2E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E6D2E"/>
    <w:rPr>
      <w:rFonts w:ascii="Cambria" w:eastAsia="Cambria" w:hAnsi="Cambria" w:cs="Cambria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EE6D2E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E6D2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EE6D2E"/>
    <w:pPr>
      <w:widowControl w:val="0"/>
      <w:autoSpaceDE w:val="0"/>
      <w:autoSpaceDN w:val="0"/>
      <w:spacing w:after="0" w:line="240" w:lineRule="auto"/>
      <w:ind w:left="153" w:firstLine="716"/>
      <w:jc w:val="both"/>
    </w:pPr>
    <w:rPr>
      <w:rFonts w:ascii="Cambria" w:eastAsia="Cambria" w:hAnsi="Cambria" w:cs="Cambria"/>
      <w:lang w:eastAsia="en-US"/>
    </w:rPr>
  </w:style>
  <w:style w:type="paragraph" w:styleId="a8">
    <w:name w:val="No Spacing"/>
    <w:uiPriority w:val="1"/>
    <w:qFormat/>
    <w:rsid w:val="00C615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3</cp:revision>
  <cp:lastPrinted>2025-01-29T14:19:00Z</cp:lastPrinted>
  <dcterms:created xsi:type="dcterms:W3CDTF">2025-01-29T14:12:00Z</dcterms:created>
  <dcterms:modified xsi:type="dcterms:W3CDTF">2025-01-29T14:27:00Z</dcterms:modified>
</cp:coreProperties>
</file>