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drawing>
          <wp:anchor behindDoc="0" distT="0" distB="0" distL="0" distR="0" simplePos="0" locked="0" layoutInCell="1" allowOverlap="1" relativeHeight="2">
            <wp:simplePos x="0" y="0"/>
            <wp:positionH relativeFrom="column">
              <wp:posOffset>2286000</wp:posOffset>
            </wp:positionH>
            <wp:positionV relativeFrom="paragraph">
              <wp:posOffset>-457200</wp:posOffset>
            </wp:positionV>
            <wp:extent cx="823595" cy="102870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823595" cy="1028700"/>
                    </a:xfrm>
                    <a:prstGeom prst="rect">
                      <a:avLst/>
                    </a:prstGeom>
                  </pic:spPr>
                </pic:pic>
              </a:graphicData>
            </a:graphic>
          </wp:anchor>
        </w:drawing>
      </w:r>
    </w:p>
    <w:p>
      <w:pPr>
        <w:pStyle w:val="Title"/>
        <w:rPr/>
      </w:pPr>
      <w:r>
        <w:rPr/>
      </w:r>
    </w:p>
    <w:p>
      <w:pPr>
        <w:pStyle w:val="Title"/>
        <w:rPr/>
      </w:pPr>
      <w:r>
        <w:rPr/>
      </w:r>
    </w:p>
    <w:p>
      <w:pPr>
        <w:pStyle w:val="Title"/>
        <w:rPr>
          <w:sz w:val="26"/>
          <w:szCs w:val="26"/>
        </w:rPr>
      </w:pPr>
      <w:r>
        <w:rPr>
          <w:sz w:val="26"/>
          <w:szCs w:val="26"/>
        </w:rPr>
        <w:t>АДМИНИСТРАЦИЯ ПАВЛОВСКОГО МУНИЦИПАЛЬНОГО РАЙОНА</w:t>
      </w:r>
    </w:p>
    <w:p>
      <w:pPr>
        <w:pStyle w:val="Heading1"/>
        <w:jc w:val="center"/>
        <w:rPr>
          <w:b/>
          <w:bCs/>
          <w:sz w:val="26"/>
          <w:szCs w:val="26"/>
        </w:rPr>
      </w:pPr>
      <w:r>
        <w:rPr>
          <w:b/>
          <w:bCs/>
          <w:sz w:val="26"/>
          <w:szCs w:val="26"/>
        </w:rPr>
        <w:t>ВОРОНЕЖСКОЙ ОБЛАСТИ</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b/>
          <w:bCs/>
          <w:sz w:val="26"/>
          <w:szCs w:val="26"/>
        </w:rPr>
      </w:pPr>
      <w:r>
        <w:rPr>
          <w:rFonts w:cs="Times New Roman" w:ascii="Times New Roman" w:hAnsi="Times New Roman"/>
          <w:b/>
          <w:bCs/>
        </w:rPr>
        <w:t>РАСПОРЯЖЕНИЕ</w:t>
      </w:r>
    </w:p>
    <w:p>
      <w:pPr>
        <w:pStyle w:val="Normal"/>
        <w:spacing w:lineRule="auto" w:line="360"/>
        <w:rPr>
          <w:u w:val="single"/>
        </w:rPr>
      </w:pPr>
      <w:r>
        <w:rPr>
          <w:rFonts w:cs="Times New Roman" w:ascii="Times New Roman" w:hAnsi="Times New Roman"/>
          <w:sz w:val="26"/>
          <w:szCs w:val="26"/>
          <w:u w:val="single"/>
        </w:rPr>
        <w:t>от  30.09.2024 г. № 252-р</w:t>
      </w:r>
    </w:p>
    <w:p>
      <w:pPr>
        <w:pStyle w:val="Normal"/>
        <w:tabs>
          <w:tab w:val="clear" w:pos="708"/>
          <w:tab w:val="left" w:pos="6848" w:leader="none"/>
        </w:tabs>
        <w:jc w:val="both"/>
        <w:rPr>
          <w:rFonts w:ascii="Times New Roman" w:hAnsi="Times New Roman" w:cs="Times New Roman"/>
          <w:sz w:val="26"/>
          <w:szCs w:val="26"/>
        </w:rPr>
      </w:pPr>
      <w:r>
        <w:rPr>
          <w:rFonts w:cs="Times New Roman" w:ascii="Times New Roman" w:hAnsi="Times New Roman"/>
        </w:rPr>
        <w:t xml:space="preserve">        </w:t>
      </w:r>
      <w:r>
        <w:rPr>
          <w:rFonts w:cs="Times New Roman" w:ascii="Times New Roman" w:hAnsi="Times New Roman"/>
        </w:rPr>
        <w:t>г. Павловск</w:t>
      </w:r>
    </w:p>
    <w:p>
      <w:pPr>
        <w:pStyle w:val="Normal"/>
        <w:tabs>
          <w:tab w:val="clear" w:pos="708"/>
          <w:tab w:val="left" w:pos="6848" w:leader="none"/>
        </w:tabs>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Spacing"/>
        <w:rPr>
          <w:rFonts w:ascii="Times New Roman" w:hAnsi="Times New Roman"/>
          <w:sz w:val="28"/>
          <w:szCs w:val="28"/>
        </w:rPr>
      </w:pPr>
      <w:r>
        <w:rPr>
          <w:rFonts w:ascii="Times New Roman" w:hAnsi="Times New Roman"/>
          <w:sz w:val="28"/>
          <w:szCs w:val="28"/>
        </w:rPr>
        <w:t>О внесении изменений в распоряжение</w:t>
      </w:r>
    </w:p>
    <w:p>
      <w:pPr>
        <w:pStyle w:val="NoSpacing"/>
        <w:rPr>
          <w:rFonts w:ascii="Times New Roman" w:hAnsi="Times New Roman"/>
          <w:sz w:val="28"/>
          <w:szCs w:val="28"/>
        </w:rPr>
      </w:pPr>
      <w:r>
        <w:rPr>
          <w:rFonts w:ascii="Times New Roman" w:hAnsi="Times New Roman"/>
          <w:sz w:val="28"/>
          <w:szCs w:val="28"/>
        </w:rPr>
        <w:t>администрации Павловского муниципального</w:t>
      </w:r>
    </w:p>
    <w:p>
      <w:pPr>
        <w:pStyle w:val="NoSpacing"/>
        <w:rPr>
          <w:rFonts w:ascii="Times New Roman" w:hAnsi="Times New Roman"/>
          <w:sz w:val="28"/>
          <w:szCs w:val="28"/>
        </w:rPr>
      </w:pPr>
      <w:r>
        <w:rPr>
          <w:rFonts w:ascii="Times New Roman" w:hAnsi="Times New Roman"/>
          <w:sz w:val="28"/>
          <w:szCs w:val="28"/>
        </w:rPr>
        <w:t>района Воронежской области</w:t>
      </w:r>
    </w:p>
    <w:p>
      <w:pPr>
        <w:pStyle w:val="NoSpacing"/>
        <w:rPr>
          <w:rFonts w:ascii="Times New Roman" w:hAnsi="Times New Roman"/>
          <w:sz w:val="28"/>
          <w:szCs w:val="28"/>
        </w:rPr>
      </w:pPr>
      <w:r>
        <w:rPr>
          <w:rFonts w:ascii="Times New Roman" w:hAnsi="Times New Roman"/>
          <w:sz w:val="28"/>
          <w:szCs w:val="28"/>
        </w:rPr>
        <w:t>от 14.03.2022  №77-р «Об утверждении</w:t>
      </w:r>
    </w:p>
    <w:p>
      <w:pPr>
        <w:pStyle w:val="NoSpacing"/>
        <w:rPr>
          <w:rFonts w:ascii="Times New Roman" w:hAnsi="Times New Roman"/>
          <w:sz w:val="28"/>
          <w:szCs w:val="28"/>
        </w:rPr>
      </w:pPr>
      <w:r>
        <w:rPr>
          <w:rFonts w:ascii="Times New Roman" w:hAnsi="Times New Roman"/>
          <w:sz w:val="28"/>
          <w:szCs w:val="28"/>
        </w:rPr>
        <w:t>Плана мероприятий («дорожной карты»)</w:t>
      </w:r>
    </w:p>
    <w:p>
      <w:pPr>
        <w:pStyle w:val="NoSpacing"/>
        <w:rPr>
          <w:rFonts w:ascii="Times New Roman" w:hAnsi="Times New Roman"/>
          <w:sz w:val="28"/>
          <w:szCs w:val="28"/>
        </w:rPr>
      </w:pPr>
      <w:r>
        <w:rPr>
          <w:rFonts w:ascii="Times New Roman" w:hAnsi="Times New Roman"/>
          <w:sz w:val="28"/>
          <w:szCs w:val="28"/>
        </w:rPr>
        <w:t>по содействию развитию конкуренции</w:t>
      </w:r>
    </w:p>
    <w:p>
      <w:pPr>
        <w:pStyle w:val="NoSpacing"/>
        <w:rPr>
          <w:rFonts w:ascii="Times New Roman" w:hAnsi="Times New Roman"/>
          <w:sz w:val="28"/>
          <w:szCs w:val="28"/>
        </w:rPr>
      </w:pPr>
      <w:r>
        <w:rPr>
          <w:rFonts w:ascii="Times New Roman" w:hAnsi="Times New Roman"/>
          <w:sz w:val="28"/>
          <w:szCs w:val="28"/>
        </w:rPr>
        <w:t xml:space="preserve">в Павловском муниципальном районе </w:t>
      </w:r>
    </w:p>
    <w:p>
      <w:pPr>
        <w:pStyle w:val="NoSpacing"/>
        <w:rPr>
          <w:rFonts w:ascii="Times New Roman" w:hAnsi="Times New Roman"/>
          <w:sz w:val="28"/>
          <w:szCs w:val="28"/>
        </w:rPr>
      </w:pPr>
      <w:r>
        <w:rPr>
          <w:rFonts w:ascii="Times New Roman" w:hAnsi="Times New Roman"/>
          <w:sz w:val="28"/>
          <w:szCs w:val="28"/>
        </w:rPr>
        <w:t>Воронежской области на 2022-2025 годы»</w:t>
      </w:r>
    </w:p>
    <w:p>
      <w:pPr>
        <w:pStyle w:val="Normal"/>
        <w:rPr>
          <w:rFonts w:ascii="Times New Roman" w:hAnsi="Times New Roman" w:cs="Times New Roman"/>
        </w:rPr>
      </w:pPr>
      <w:r>
        <w:rPr>
          <w:rFonts w:cs="Times New Roman" w:ascii="Times New Roman" w:hAnsi="Times New Roman"/>
        </w:rPr>
      </w:r>
    </w:p>
    <w:p>
      <w:pPr>
        <w:pStyle w:val="NoSpacing"/>
        <w:ind w:firstLine="709"/>
        <w:jc w:val="both"/>
        <w:rPr>
          <w:rFonts w:ascii="Times New Roman" w:hAnsi="Times New Roman"/>
          <w:sz w:val="26"/>
          <w:szCs w:val="26"/>
        </w:rPr>
      </w:pPr>
      <w:r>
        <w:rPr>
          <w:rFonts w:ascii="Times New Roman" w:hAnsi="Times New Roman"/>
          <w:sz w:val="26"/>
          <w:szCs w:val="26"/>
        </w:rPr>
        <w:t>В соответствии с распоряжениями Правительства Российской Федерации от 17.04.2019 № 768-р «</w:t>
      </w:r>
      <w:r>
        <w:rPr>
          <w:rFonts w:ascii="Times New Roman" w:hAnsi="Times New Roman"/>
          <w:color w:val="000000"/>
          <w:sz w:val="26"/>
          <w:szCs w:val="26"/>
        </w:rPr>
        <w:t>Об утверждении стандарта развития конкуренции в субъектах Российской Федерации</w:t>
      </w:r>
      <w:r>
        <w:rPr>
          <w:rFonts w:ascii="Times New Roman" w:hAnsi="Times New Roman"/>
          <w:sz w:val="26"/>
          <w:szCs w:val="26"/>
        </w:rPr>
        <w:t>», от 02.09.2021 № 2424-р «Об утверждении Национального плана («дорожной карты»)  развития конкуренции в Российской Федерации на 2021 – 2025 годы» и соглашения между министерством экономического развития Воронежской области и администрацией Павловского муниципального района Воронежской области о внедрении Стандарта развития конкуренции в Воронежской области от  28.12.2019  № 51-13-15/31 в целях содействия развитию конкуренции в субъектах Российской Федерации:</w:t>
      </w:r>
    </w:p>
    <w:p>
      <w:pPr>
        <w:pStyle w:val="NoSpacing"/>
        <w:ind w:firstLine="709"/>
        <w:jc w:val="both"/>
        <w:rPr>
          <w:rFonts w:ascii="Times New Roman" w:hAnsi="Times New Roman"/>
          <w:sz w:val="26"/>
          <w:szCs w:val="26"/>
        </w:rPr>
      </w:pPr>
      <w:r>
        <w:rPr>
          <w:rFonts w:ascii="Times New Roman" w:hAnsi="Times New Roman"/>
          <w:sz w:val="26"/>
          <w:szCs w:val="26"/>
        </w:rPr>
      </w:r>
    </w:p>
    <w:p>
      <w:pPr>
        <w:pStyle w:val="NoSpacing"/>
        <w:ind w:firstLine="709"/>
        <w:jc w:val="both"/>
        <w:rPr>
          <w:rFonts w:ascii="Times New Roman" w:hAnsi="Times New Roman"/>
          <w:sz w:val="26"/>
          <w:szCs w:val="26"/>
        </w:rPr>
      </w:pPr>
      <w:r>
        <w:rPr>
          <w:rFonts w:ascii="Times New Roman" w:hAnsi="Times New Roman"/>
          <w:sz w:val="26"/>
          <w:szCs w:val="26"/>
        </w:rPr>
      </w:r>
    </w:p>
    <w:p>
      <w:pPr>
        <w:pStyle w:val="NoSpacing"/>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Внести в  распоряжение администрации Павловского муниципального района Воронежской области от 14.03.2022 №77-р «Об утверждении Плана мероприятий («дорожной карты») по содействию развитию конкуренции в Павловском муниципальном районе Воронежской области на 2024-2025 годы» изменения, изложив приложение в редакции согласно приложению к настоящему распоряжению.</w:t>
      </w:r>
    </w:p>
    <w:p>
      <w:pPr>
        <w:pStyle w:val="NoSpacing"/>
        <w:ind w:firstLine="709"/>
        <w:jc w:val="both"/>
        <w:rPr>
          <w:rFonts w:ascii="Times New Roman" w:hAnsi="Times New Roman"/>
          <w:sz w:val="26"/>
          <w:szCs w:val="26"/>
        </w:rPr>
      </w:pPr>
      <w:r>
        <w:rPr>
          <w:rFonts w:ascii="Times New Roman" w:hAnsi="Times New Roman"/>
          <w:sz w:val="26"/>
          <w:szCs w:val="26"/>
        </w:rPr>
      </w:r>
    </w:p>
    <w:p>
      <w:pPr>
        <w:pStyle w:val="NoSpacing"/>
        <w:ind w:firstLine="709"/>
        <w:jc w:val="both"/>
        <w:rPr>
          <w:rFonts w:ascii="Times New Roman" w:hAnsi="Times New Roman"/>
          <w:sz w:val="26"/>
          <w:szCs w:val="26"/>
        </w:rPr>
      </w:pPr>
      <w:r>
        <w:rPr>
          <w:rFonts w:ascii="Times New Roman" w:hAnsi="Times New Roman"/>
          <w:sz w:val="26"/>
          <w:szCs w:val="26"/>
        </w:rPr>
      </w:r>
    </w:p>
    <w:p>
      <w:pPr>
        <w:pStyle w:val="NoSpacing"/>
        <w:jc w:val="both"/>
        <w:rPr>
          <w:rFonts w:ascii="Times New Roman" w:hAnsi="Times New Roman"/>
          <w:sz w:val="26"/>
          <w:szCs w:val="26"/>
        </w:rPr>
      </w:pPr>
      <w:r>
        <w:rPr>
          <w:rFonts w:ascii="Times New Roman" w:hAnsi="Times New Roman"/>
          <w:sz w:val="26"/>
          <w:szCs w:val="26"/>
        </w:rPr>
        <w:t xml:space="preserve">И. о. главы Павловского муниципального </w:t>
      </w:r>
    </w:p>
    <w:p>
      <w:pPr>
        <w:pStyle w:val="NoSpacing"/>
        <w:rPr>
          <w:rFonts w:ascii="Times New Roman" w:hAnsi="Times New Roman"/>
          <w:sz w:val="26"/>
          <w:szCs w:val="26"/>
        </w:rPr>
      </w:pPr>
      <w:r>
        <w:rPr>
          <w:rFonts w:ascii="Times New Roman" w:hAnsi="Times New Roman"/>
          <w:sz w:val="26"/>
          <w:szCs w:val="26"/>
        </w:rPr>
        <w:t>района Воронежской области                                                              Ю.А. Черенков</w:t>
      </w:r>
    </w:p>
    <w:p>
      <w:pPr>
        <w:pStyle w:val="NoSpacing"/>
        <w:rPr>
          <w:rFonts w:ascii="Times New Roman" w:hAnsi="Times New Roman"/>
          <w:sz w:val="26"/>
          <w:szCs w:val="26"/>
        </w:rPr>
      </w:pPr>
      <w:r>
        <w:rPr>
          <w:rFonts w:ascii="Times New Roman" w:hAnsi="Times New Roman"/>
          <w:sz w:val="26"/>
          <w:szCs w:val="26"/>
        </w:rPr>
      </w:r>
    </w:p>
    <w:p>
      <w:pPr>
        <w:pStyle w:val="NoSpacing"/>
        <w:rPr>
          <w:rFonts w:ascii="Times New Roman" w:hAnsi="Times New Roman"/>
          <w:sz w:val="26"/>
          <w:szCs w:val="26"/>
        </w:rPr>
      </w:pPr>
      <w:r>
        <w:rPr>
          <w:rFonts w:ascii="Times New Roman" w:hAnsi="Times New Roman"/>
          <w:sz w:val="26"/>
          <w:szCs w:val="26"/>
        </w:rPr>
      </w:r>
    </w:p>
    <w:p>
      <w:pPr>
        <w:pStyle w:val="NoSpacing"/>
        <w:rPr>
          <w:rFonts w:ascii="Times New Roman" w:hAnsi="Times New Roman"/>
          <w:sz w:val="26"/>
          <w:szCs w:val="26"/>
        </w:rPr>
      </w:pPr>
      <w:r>
        <w:rPr>
          <w:rFonts w:ascii="Times New Roman" w:hAnsi="Times New Roman"/>
          <w:sz w:val="26"/>
          <w:szCs w:val="26"/>
        </w:rPr>
      </w:r>
    </w:p>
    <w:p>
      <w:pPr>
        <w:pStyle w:val="NoSpacing"/>
        <w:rPr>
          <w:rFonts w:ascii="Times New Roman" w:hAnsi="Times New Roman"/>
          <w:sz w:val="26"/>
          <w:szCs w:val="26"/>
        </w:rPr>
      </w:pPr>
      <w:r>
        <w:rPr>
          <w:rFonts w:ascii="Times New Roman" w:hAnsi="Times New Roman"/>
          <w:sz w:val="26"/>
          <w:szCs w:val="26"/>
        </w:rPr>
      </w:r>
    </w:p>
    <w:p>
      <w:pPr>
        <w:pStyle w:val="NoSpacing"/>
        <w:rPr>
          <w:rFonts w:ascii="Times New Roman" w:hAnsi="Times New Roman"/>
          <w:sz w:val="26"/>
          <w:szCs w:val="26"/>
        </w:rPr>
      </w:pPr>
      <w:r>
        <w:rPr>
          <w:rFonts w:ascii="Times New Roman" w:hAnsi="Times New Roman"/>
          <w:sz w:val="26"/>
          <w:szCs w:val="26"/>
        </w:rPr>
      </w:r>
    </w:p>
    <w:p>
      <w:pPr>
        <w:pStyle w:val="NoSpacing"/>
        <w:rPr>
          <w:rFonts w:ascii="Times New Roman" w:hAnsi="Times New Roman"/>
          <w:sz w:val="26"/>
          <w:szCs w:val="26"/>
        </w:rPr>
      </w:pPr>
      <w:r>
        <w:rPr>
          <w:rFonts w:ascii="Times New Roman" w:hAnsi="Times New Roman"/>
          <w:sz w:val="26"/>
          <w:szCs w:val="26"/>
        </w:rPr>
      </w:r>
    </w:p>
    <w:p>
      <w:pPr>
        <w:pStyle w:val="NoSpacing"/>
        <w:rPr>
          <w:rFonts w:ascii="Times New Roman" w:hAnsi="Times New Roman"/>
          <w:sz w:val="26"/>
          <w:szCs w:val="26"/>
        </w:rPr>
      </w:pPr>
      <w:r>
        <w:rPr>
          <w:rFonts w:ascii="Times New Roman" w:hAnsi="Times New Roman"/>
          <w:sz w:val="26"/>
          <w:szCs w:val="26"/>
        </w:rPr>
      </w:r>
    </w:p>
    <w:p>
      <w:pPr>
        <w:pStyle w:val="Normal"/>
        <w:spacing w:lineRule="auto" w:line="240" w:before="0" w:after="29"/>
        <w:ind w:hanging="0"/>
        <w:rPr/>
      </w:pPr>
      <w:r>
        <w:rPr>
          <w:rFonts w:cs="Times New Roman" w:ascii="Times New Roman" w:hAnsi="Times New Roman"/>
          <w:sz w:val="26"/>
          <w:szCs w:val="26"/>
          <w:shd w:fill="FFFFFF" w:val="clear"/>
        </w:rPr>
        <w:t xml:space="preserve">СОГЛАСОВАНО  </w:t>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t>Заместитель главы администрации -</w:t>
      </w:r>
    </w:p>
    <w:p>
      <w:pPr>
        <w:pStyle w:val="NoSpacing"/>
        <w:rPr>
          <w:rFonts w:ascii="Times New Roman" w:hAnsi="Times New Roman" w:cs="Times New Roman"/>
          <w:sz w:val="26"/>
          <w:szCs w:val="26"/>
        </w:rPr>
      </w:pPr>
      <w:r>
        <w:rPr>
          <w:rFonts w:cs="Times New Roman" w:ascii="Times New Roman" w:hAnsi="Times New Roman"/>
          <w:sz w:val="26"/>
          <w:szCs w:val="26"/>
        </w:rPr>
        <w:t xml:space="preserve">руководитель аппарата администрации </w:t>
      </w:r>
    </w:p>
    <w:p>
      <w:pPr>
        <w:pStyle w:val="NoSpacing"/>
        <w:rPr>
          <w:rFonts w:ascii="Times New Roman" w:hAnsi="Times New Roman" w:cs="Times New Roman"/>
          <w:sz w:val="26"/>
          <w:szCs w:val="26"/>
        </w:rPr>
      </w:pPr>
      <w:r>
        <w:rPr>
          <w:rFonts w:cs="Times New Roman" w:ascii="Times New Roman" w:hAnsi="Times New Roman"/>
          <w:sz w:val="26"/>
          <w:szCs w:val="26"/>
        </w:rPr>
        <w:t>Павловского муниципального района                                                  Ю.В. Чечурина</w:t>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t>Заместитель главы администрации</w:t>
      </w:r>
    </w:p>
    <w:p>
      <w:pPr>
        <w:pStyle w:val="NoSpacing"/>
        <w:rPr>
          <w:rFonts w:ascii="Times New Roman" w:hAnsi="Times New Roman" w:cs="Times New Roman"/>
          <w:sz w:val="26"/>
          <w:szCs w:val="26"/>
        </w:rPr>
      </w:pPr>
      <w:r>
        <w:rPr>
          <w:rFonts w:cs="Times New Roman" w:ascii="Times New Roman" w:hAnsi="Times New Roman"/>
          <w:sz w:val="26"/>
          <w:szCs w:val="26"/>
        </w:rPr>
        <w:t>Павловского муниципального района                                                  Л.В. Якушева</w:t>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t>Руководитель муниципального отдела</w:t>
      </w:r>
    </w:p>
    <w:p>
      <w:pPr>
        <w:pStyle w:val="NoSpacing"/>
        <w:rPr>
          <w:rFonts w:ascii="Times New Roman" w:hAnsi="Times New Roman" w:cs="Times New Roman"/>
          <w:sz w:val="26"/>
          <w:szCs w:val="26"/>
        </w:rPr>
      </w:pPr>
      <w:r>
        <w:rPr>
          <w:rFonts w:cs="Times New Roman" w:ascii="Times New Roman" w:hAnsi="Times New Roman"/>
          <w:sz w:val="26"/>
          <w:szCs w:val="26"/>
        </w:rPr>
        <w:t xml:space="preserve">по образованию, молодёжной политике </w:t>
      </w:r>
    </w:p>
    <w:p>
      <w:pPr>
        <w:pStyle w:val="NoSpacing"/>
        <w:rPr>
          <w:rFonts w:ascii="Times New Roman" w:hAnsi="Times New Roman" w:cs="Times New Roman"/>
          <w:sz w:val="26"/>
          <w:szCs w:val="26"/>
        </w:rPr>
      </w:pPr>
      <w:r>
        <w:rPr>
          <w:rFonts w:cs="Times New Roman" w:ascii="Times New Roman" w:hAnsi="Times New Roman"/>
          <w:sz w:val="26"/>
          <w:szCs w:val="26"/>
        </w:rPr>
        <w:t>и спорту администрации Павловского</w:t>
      </w:r>
    </w:p>
    <w:p>
      <w:pPr>
        <w:pStyle w:val="NoSpacing"/>
        <w:rPr>
          <w:rFonts w:ascii="Times New Roman" w:hAnsi="Times New Roman" w:cs="Times New Roman"/>
          <w:sz w:val="26"/>
          <w:szCs w:val="26"/>
        </w:rPr>
      </w:pPr>
      <w:r>
        <w:rPr>
          <w:rFonts w:cs="Times New Roman" w:ascii="Times New Roman" w:hAnsi="Times New Roman"/>
          <w:sz w:val="26"/>
          <w:szCs w:val="26"/>
        </w:rPr>
        <w:t>муниципального района                                                                         И.А. Хатунцева</w:t>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t>Директор МКУ ПМР</w:t>
      </w:r>
    </w:p>
    <w:p>
      <w:pPr>
        <w:pStyle w:val="NoSpacing"/>
        <w:rPr>
          <w:rFonts w:ascii="Times New Roman" w:hAnsi="Times New Roman" w:cs="Times New Roman"/>
          <w:sz w:val="26"/>
          <w:szCs w:val="26"/>
        </w:rPr>
      </w:pPr>
      <w:r>
        <w:rPr>
          <w:rFonts w:cs="Times New Roman" w:ascii="Times New Roman" w:hAnsi="Times New Roman"/>
          <w:sz w:val="26"/>
          <w:szCs w:val="26"/>
        </w:rPr>
        <w:t>«Управление сельского хозяйства»                                                       В.В. Мамонтов</w:t>
      </w:r>
    </w:p>
    <w:p>
      <w:pPr>
        <w:pStyle w:val="NoSpacing"/>
        <w:rPr>
          <w:rFonts w:ascii="Times New Roman" w:hAnsi="Times New Roman" w:cs="Times New Roman"/>
          <w:sz w:val="26"/>
          <w:szCs w:val="26"/>
        </w:rPr>
      </w:pPr>
      <w:r>
        <w:rPr>
          <w:rFonts w:cs="Times New Roman" w:ascii="Times New Roman" w:hAnsi="Times New Roman"/>
          <w:sz w:val="26"/>
          <w:szCs w:val="26"/>
        </w:rPr>
        <w:t xml:space="preserve">                                   </w:t>
      </w:r>
    </w:p>
    <w:p>
      <w:pPr>
        <w:pStyle w:val="NoSpacing"/>
        <w:rPr>
          <w:rFonts w:ascii="Times New Roman" w:hAnsi="Times New Roman" w:cs="Times New Roman"/>
          <w:sz w:val="26"/>
          <w:szCs w:val="26"/>
        </w:rPr>
      </w:pPr>
      <w:r>
        <w:rPr>
          <w:rFonts w:cs="Times New Roman" w:ascii="Times New Roman" w:hAnsi="Times New Roman"/>
          <w:sz w:val="26"/>
          <w:szCs w:val="26"/>
        </w:rPr>
        <w:t>Начальник отдела правового обеспечения</w:t>
      </w:r>
    </w:p>
    <w:p>
      <w:pPr>
        <w:pStyle w:val="NoSpacing"/>
        <w:rPr>
          <w:rFonts w:ascii="Times New Roman" w:hAnsi="Times New Roman" w:cs="Times New Roman"/>
          <w:sz w:val="26"/>
          <w:szCs w:val="26"/>
        </w:rPr>
      </w:pPr>
      <w:r>
        <w:rPr>
          <w:rFonts w:cs="Times New Roman" w:ascii="Times New Roman" w:hAnsi="Times New Roman"/>
          <w:sz w:val="26"/>
          <w:szCs w:val="26"/>
        </w:rPr>
        <w:t>и противодействия коррупции администрации</w:t>
      </w:r>
    </w:p>
    <w:p>
      <w:pPr>
        <w:pStyle w:val="NoSpacing"/>
        <w:rPr>
          <w:rFonts w:ascii="Times New Roman" w:hAnsi="Times New Roman" w:cs="Times New Roman"/>
          <w:sz w:val="26"/>
          <w:szCs w:val="26"/>
        </w:rPr>
      </w:pPr>
      <w:r>
        <w:rPr>
          <w:rFonts w:cs="Times New Roman" w:ascii="Times New Roman" w:hAnsi="Times New Roman"/>
          <w:sz w:val="26"/>
          <w:szCs w:val="26"/>
        </w:rPr>
        <w:t>Павловского муниципального района                                                  Ю.С. Жиляева</w:t>
      </w:r>
    </w:p>
    <w:p>
      <w:pPr>
        <w:pStyle w:val="Normal"/>
        <w:spacing w:before="0" w:after="0"/>
        <w:ind w:hanging="0"/>
        <w:rPr>
          <w:rFonts w:ascii="Times New Roman" w:hAnsi="Times New Roman" w:eastAsia="" w:cs="Times New Roman" w:eastAsiaTheme="minorEastAsia"/>
          <w:sz w:val="22"/>
          <w:szCs w:val="22"/>
          <w:lang w:eastAsia="ru-RU"/>
        </w:rPr>
      </w:pPr>
      <w:r>
        <w:rPr>
          <w:rFonts w:eastAsia="" w:cs="Times New Roman" w:eastAsiaTheme="minorEastAsia" w:ascii="Times New Roman" w:hAnsi="Times New Roman"/>
          <w:sz w:val="22"/>
          <w:szCs w:val="22"/>
          <w:lang w:eastAsia="ru-RU"/>
        </w:rPr>
      </w:r>
    </w:p>
    <w:p>
      <w:pPr>
        <w:pStyle w:val="Normal"/>
        <w:spacing w:before="0" w:after="0"/>
        <w:ind w:hanging="0"/>
        <w:rPr>
          <w:rFonts w:ascii="Times New Roman" w:hAnsi="Times New Roman" w:eastAsia="" w:cs="Times New Roman" w:eastAsiaTheme="minorEastAsia"/>
          <w:sz w:val="26"/>
          <w:szCs w:val="26"/>
          <w:lang w:eastAsia="ru-RU"/>
        </w:rPr>
      </w:pPr>
      <w:r>
        <w:rPr>
          <w:rFonts w:eastAsia="" w:cs="Times New Roman" w:eastAsiaTheme="minorEastAsia" w:ascii="Times New Roman" w:hAnsi="Times New Roman"/>
          <w:sz w:val="26"/>
          <w:szCs w:val="2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t>ВНЕСЕНО</w:t>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Spacing"/>
        <w:spacing w:lineRule="auto" w:line="240"/>
        <w:rPr>
          <w:rFonts w:ascii="Times New Roman" w:hAnsi="Times New Roman" w:cs="Times New Roman"/>
          <w:sz w:val="26"/>
          <w:szCs w:val="26"/>
        </w:rPr>
      </w:pPr>
      <w:r>
        <w:rPr>
          <w:rFonts w:cs="Times New Roman" w:ascii="Times New Roman" w:hAnsi="Times New Roman"/>
          <w:color w:val="000000"/>
          <w:kern w:val="0"/>
          <w:sz w:val="26"/>
          <w:szCs w:val="26"/>
          <w:shd w:fill="FFFFFF" w:val="clear"/>
          <w:lang w:val="ru-RU" w:bidi="ar-SA"/>
        </w:rPr>
        <w:t>Заместитель главы администрации –</w:t>
      </w:r>
    </w:p>
    <w:p>
      <w:pPr>
        <w:pStyle w:val="NoSpacing"/>
        <w:spacing w:lineRule="auto" w:line="240"/>
        <w:rPr>
          <w:rFonts w:ascii="Times New Roman" w:hAnsi="Times New Roman" w:cs="Times New Roman"/>
          <w:sz w:val="26"/>
          <w:szCs w:val="26"/>
        </w:rPr>
      </w:pPr>
      <w:r>
        <w:rPr>
          <w:rFonts w:cs="Times New Roman" w:ascii="Times New Roman" w:hAnsi="Times New Roman"/>
          <w:color w:val="000000"/>
          <w:kern w:val="0"/>
          <w:sz w:val="26"/>
          <w:szCs w:val="26"/>
          <w:shd w:fill="FFFFFF" w:val="clear"/>
          <w:lang w:val="ru-RU" w:bidi="ar-SA"/>
        </w:rPr>
        <w:t>начальник отдела социально -экономического</w:t>
      </w:r>
    </w:p>
    <w:p>
      <w:pPr>
        <w:pStyle w:val="NoSpacing"/>
        <w:spacing w:lineRule="auto" w:line="240"/>
        <w:rPr>
          <w:rFonts w:ascii="Times New Roman" w:hAnsi="Times New Roman" w:cs="Times New Roman"/>
          <w:sz w:val="26"/>
          <w:szCs w:val="26"/>
        </w:rPr>
      </w:pPr>
      <w:r>
        <w:rPr>
          <w:rFonts w:cs="Times New Roman" w:ascii="Times New Roman" w:hAnsi="Times New Roman"/>
          <w:color w:val="000000"/>
          <w:kern w:val="0"/>
          <w:sz w:val="26"/>
          <w:szCs w:val="26"/>
          <w:shd w:fill="FFFFFF" w:val="clear"/>
          <w:lang w:val="ru-RU" w:bidi="ar-SA"/>
        </w:rPr>
        <w:t>развития, муниципального контроля</w:t>
      </w:r>
    </w:p>
    <w:p>
      <w:pPr>
        <w:pStyle w:val="NoSpacing"/>
        <w:spacing w:lineRule="auto" w:line="240"/>
        <w:rPr>
          <w:rFonts w:ascii="Times New Roman" w:hAnsi="Times New Roman" w:cs="Times New Roman"/>
          <w:sz w:val="26"/>
          <w:szCs w:val="26"/>
        </w:rPr>
      </w:pPr>
      <w:r>
        <w:rPr>
          <w:rFonts w:cs="Times New Roman" w:ascii="Times New Roman" w:hAnsi="Times New Roman"/>
          <w:color w:val="000000"/>
          <w:kern w:val="0"/>
          <w:sz w:val="26"/>
          <w:szCs w:val="26"/>
          <w:shd w:fill="FFFFFF" w:val="clear"/>
          <w:lang w:val="ru-RU" w:bidi="ar-SA"/>
        </w:rPr>
        <w:t>и поддержки предпринимательства</w:t>
      </w:r>
    </w:p>
    <w:p>
      <w:pPr>
        <w:pStyle w:val="NoSpacing"/>
        <w:spacing w:lineRule="auto" w:line="240"/>
        <w:rPr>
          <w:rFonts w:ascii="Times New Roman" w:hAnsi="Times New Roman" w:cs="Times New Roman"/>
          <w:sz w:val="26"/>
          <w:szCs w:val="26"/>
        </w:rPr>
      </w:pPr>
      <w:r>
        <w:rPr>
          <w:rFonts w:cs="Times New Roman" w:ascii="Times New Roman" w:hAnsi="Times New Roman"/>
          <w:color w:val="000000"/>
          <w:kern w:val="0"/>
          <w:sz w:val="26"/>
          <w:szCs w:val="26"/>
          <w:shd w:fill="FFFFFF" w:val="clear"/>
          <w:lang w:val="ru-RU" w:bidi="ar-SA"/>
        </w:rPr>
        <w:t>администрации Павловского</w:t>
      </w:r>
    </w:p>
    <w:p>
      <w:pPr>
        <w:sectPr>
          <w:type w:val="nextPage"/>
          <w:pgSz w:w="11906" w:h="16838"/>
          <w:pgMar w:left="1701" w:right="992" w:gutter="0" w:header="0" w:top="1134" w:footer="0" w:bottom="1134"/>
          <w:pgNumType w:fmt="decimal"/>
          <w:formProt w:val="false"/>
          <w:titlePg/>
          <w:textDirection w:val="lrTb"/>
          <w:docGrid w:type="default" w:linePitch="360" w:charSpace="4096"/>
        </w:sectPr>
        <w:pStyle w:val="Normal"/>
        <w:spacing w:lineRule="auto" w:line="240" w:before="0" w:after="29"/>
        <w:ind w:hanging="0"/>
        <w:rPr/>
      </w:pPr>
      <w:r>
        <w:rPr>
          <w:rFonts w:eastAsia="Calibri" w:cs="Times New Roman" w:ascii="Times New Roman" w:hAnsi="Times New Roman"/>
          <w:color w:val="000000"/>
          <w:kern w:val="0"/>
          <w:sz w:val="26"/>
          <w:szCs w:val="26"/>
          <w:shd w:fill="FFFFFF" w:val="clear"/>
          <w:lang w:val="ru-RU" w:eastAsia="en-US" w:bidi="ar-SA"/>
        </w:rPr>
        <w:t>муниципального района</w:t>
      </w:r>
      <w:r>
        <w:rPr>
          <w:rFonts w:cs="Times New Roman" w:ascii="Times New Roman" w:hAnsi="Times New Roman"/>
          <w:sz w:val="26"/>
          <w:szCs w:val="26"/>
          <w:shd w:fill="FFFFFF" w:val="clear"/>
        </w:rPr>
        <w:t xml:space="preserve">                                                                        </w:t>
      </w:r>
      <w:r>
        <w:rPr>
          <w:rFonts w:eastAsia="Calibri" w:cs="Times New Roman" w:ascii="Times New Roman" w:hAnsi="Times New Roman" w:eastAsiaTheme="minorHAnsi"/>
          <w:color w:val="000000"/>
          <w:kern w:val="0"/>
          <w:sz w:val="26"/>
          <w:szCs w:val="26"/>
          <w:shd w:fill="FFFFFF" w:val="clear"/>
          <w:lang w:val="ru-RU" w:eastAsia="en-US" w:bidi="ar-SA"/>
        </w:rPr>
        <w:t>А.Г. Хабаров</w:t>
      </w:r>
    </w:p>
    <w:p>
      <w:pPr>
        <w:pStyle w:val="Normal"/>
        <w:spacing w:lineRule="auto" w:line="240" w:before="0" w:after="0"/>
        <w:ind w:left="10206"/>
        <w:rPr>
          <w:rFonts w:ascii="Times New Roman" w:hAnsi="Times New Roman" w:eastAsia="Times New Roman" w:cs="Times New Roman"/>
          <w:bCs/>
          <w:color w:val="000000"/>
          <w:sz w:val="26"/>
          <w:szCs w:val="26"/>
        </w:rPr>
      </w:pPr>
      <w:r>
        <w:rPr>
          <w:rFonts w:eastAsia="Times New Roman" w:cs="Times New Roman" w:ascii="Times New Roman" w:hAnsi="Times New Roman"/>
          <w:bCs/>
          <w:color w:val="000000"/>
          <w:sz w:val="26"/>
          <w:szCs w:val="26"/>
        </w:rPr>
        <w:t xml:space="preserve">Приложение </w:t>
      </w:r>
    </w:p>
    <w:p>
      <w:pPr>
        <w:pStyle w:val="Normal"/>
        <w:spacing w:lineRule="auto" w:line="240" w:before="0" w:after="0"/>
        <w:ind w:left="10206"/>
        <w:rPr>
          <w:rFonts w:ascii="Times New Roman" w:hAnsi="Times New Roman" w:eastAsia="Times New Roman" w:cs="Times New Roman"/>
          <w:bCs/>
          <w:color w:val="000000"/>
          <w:sz w:val="26"/>
          <w:szCs w:val="26"/>
        </w:rPr>
      </w:pPr>
      <w:r>
        <w:rPr>
          <w:rFonts w:eastAsia="Times New Roman" w:cs="Times New Roman" w:ascii="Times New Roman" w:hAnsi="Times New Roman"/>
          <w:bCs/>
          <w:color w:val="000000"/>
          <w:sz w:val="26"/>
          <w:szCs w:val="26"/>
        </w:rPr>
        <w:t xml:space="preserve">к распоряжению администрации Павловского муниципального района Воронежской области </w:t>
      </w:r>
    </w:p>
    <w:p>
      <w:pPr>
        <w:pStyle w:val="Normal"/>
        <w:spacing w:lineRule="auto" w:line="240" w:before="0" w:after="0"/>
        <w:ind w:left="10206"/>
        <w:rPr>
          <w:rFonts w:ascii="Times New Roman" w:hAnsi="Times New Roman" w:eastAsia="Times New Roman" w:cs="Times New Roman"/>
          <w:bCs/>
          <w:color w:val="000000"/>
          <w:sz w:val="26"/>
          <w:szCs w:val="26"/>
          <w:u w:val="single"/>
        </w:rPr>
      </w:pPr>
      <w:r>
        <w:rPr>
          <w:rFonts w:eastAsia="Times New Roman" w:cs="Times New Roman" w:ascii="Times New Roman" w:hAnsi="Times New Roman"/>
          <w:bCs/>
          <w:color w:val="000000"/>
          <w:sz w:val="26"/>
          <w:szCs w:val="26"/>
        </w:rPr>
        <w:t>от  30.09.2024 г. №</w:t>
      </w:r>
      <w:r>
        <w:rPr>
          <w:rFonts w:eastAsia="Times New Roman" w:cs="Times New Roman" w:ascii="Times New Roman" w:hAnsi="Times New Roman"/>
          <w:bCs/>
          <w:color w:val="000000"/>
          <w:sz w:val="26"/>
          <w:szCs w:val="26"/>
          <w:u w:val="none"/>
        </w:rPr>
        <w:t xml:space="preserve">  252-р</w:t>
      </w:r>
    </w:p>
    <w:p>
      <w:pPr>
        <w:pStyle w:val="Normal"/>
        <w:spacing w:lineRule="auto" w:line="240" w:before="0" w:after="0"/>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spacing w:lineRule="auto" w:line="240"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bCs/>
          <w:color w:val="000000"/>
          <w:sz w:val="26"/>
          <w:szCs w:val="26"/>
        </w:rPr>
        <w:t>ПЛАН</w:t>
      </w:r>
    </w:p>
    <w:p>
      <w:pPr>
        <w:pStyle w:val="Normal"/>
        <w:spacing w:lineRule="auto" w:line="240" w:before="0" w:after="0"/>
        <w:jc w:val="center"/>
        <w:rPr>
          <w:rFonts w:ascii="Times New Roman" w:hAnsi="Times New Roman" w:eastAsia="Times New Roman" w:cs="Times New Roman"/>
          <w:bCs/>
          <w:color w:val="000000"/>
          <w:sz w:val="26"/>
          <w:szCs w:val="26"/>
        </w:rPr>
      </w:pPr>
      <w:r>
        <w:rPr>
          <w:rFonts w:eastAsia="Times New Roman" w:cs="Times New Roman" w:ascii="Times New Roman" w:hAnsi="Times New Roman"/>
          <w:bCs/>
          <w:color w:val="000000"/>
          <w:sz w:val="26"/>
          <w:szCs w:val="26"/>
        </w:rPr>
        <w:t>мероприятий («дорожная карта») по содействию развитию конкуренции в Павловском муниципальном районе Воронежской области на 2022-2025 годы</w:t>
      </w:r>
    </w:p>
    <w:p>
      <w:pPr>
        <w:pStyle w:val="Normal"/>
        <w:spacing w:lineRule="auto" w:line="240"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spacing w:lineRule="auto" w:line="240"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I</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w:t>
      </w:r>
      <w:r>
        <w:rPr>
          <w:rFonts w:eastAsia="Times New Roman" w:cs="Times New Roman" w:ascii="Times New Roman" w:hAnsi="Times New Roman"/>
          <w:color w:val="000000"/>
          <w:sz w:val="26"/>
          <w:szCs w:val="26"/>
        </w:rPr>
        <w:t>Общее описание «дорожной карты»</w:t>
      </w:r>
    </w:p>
    <w:p>
      <w:pPr>
        <w:pStyle w:val="Normal"/>
        <w:spacing w:lineRule="auto" w:line="240"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1.</w:t>
      </w:r>
      <w:r>
        <w:rPr>
          <w:rFonts w:eastAsia="Times New Roman" w:cs="Times New Roman" w:ascii="Times New Roman" w:hAnsi="Times New Roman"/>
          <w:color w:val="000000"/>
          <w:sz w:val="26"/>
          <w:szCs w:val="26"/>
          <w:lang w:val="en-US"/>
        </w:rPr>
        <w:t> </w:t>
      </w:r>
      <w:r>
        <w:rPr>
          <w:rFonts w:eastAsia="Times New Roman" w:cs="Times New Roman" w:ascii="Times New Roman" w:hAnsi="Times New Roman"/>
          <w:color w:val="000000"/>
          <w:sz w:val="26"/>
          <w:szCs w:val="26"/>
        </w:rPr>
        <w:t>Реализация Плана мероприятий («дорожной карты») по содействию развитию конкуренции в Павловском муниципальном районе Воронежской области на 2022-2025 годы (далее – «дорожная карта») направлена на развитие конкурентной среды и предпринимательского климата на территории Павловского муниципального района Воронежской области, снижение административных и инфраструктурных барьеров.</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2.</w:t>
      </w:r>
      <w:r>
        <w:rPr>
          <w:rFonts w:eastAsia="Times New Roman" w:cs="Times New Roman" w:ascii="Times New Roman" w:hAnsi="Times New Roman"/>
          <w:color w:val="000000"/>
          <w:sz w:val="26"/>
          <w:szCs w:val="26"/>
          <w:lang w:val="en-US"/>
        </w:rPr>
        <w:t> </w:t>
      </w:r>
      <w:r>
        <w:rPr>
          <w:rFonts w:eastAsia="Times New Roman" w:cs="Times New Roman" w:ascii="Times New Roman" w:hAnsi="Times New Roman"/>
          <w:color w:val="000000"/>
          <w:sz w:val="26"/>
          <w:szCs w:val="26"/>
        </w:rPr>
        <w:t>Целями «дорожной карты» являются:</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1) внедрение стандарта развития конкуренции в Павловском муниципальном районе Воронежской области;</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2) внедрение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3) реализация Национального плана («дорожной карты») развития конкуренции в Российской Федерации на 2021 - 2025 годы (далее – Национальный план), утвержденного распоряжением правительства Российской Федерации от 02.09.2021 № 2424-р;</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4) проведение мероприятий по содействию развитию конкуренции для каждого из утвержденных товарных рынков по содействию развитию конкуренции в Павловском муниципальном районе Воронежской области;</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5) проведение мероприятий по содействию развитию конкуренции для каждого из утвержденных приоритетных рынков по содействию развитию конкуренции в Павловском муниципальном районе Воронежской области;</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6) включение функций развития конкуренции в приоритеты деятельности органов местного самоуправления Павловского муниципального района Воронежской области;</w:t>
      </w:r>
    </w:p>
    <w:p>
      <w:pPr>
        <w:pStyle w:val="Normal"/>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7) снижение доли государственного сектора в экономике </w:t>
      </w:r>
      <w:r>
        <w:rPr>
          <w:rFonts w:eastAsia="Times New Roman" w:cs="Times New Roman" w:ascii="Times New Roman" w:hAnsi="Times New Roman"/>
          <w:color w:val="000000"/>
          <w:sz w:val="26"/>
          <w:szCs w:val="26"/>
        </w:rPr>
        <w:t>Павловского муниципального района</w:t>
      </w:r>
      <w:r>
        <w:rPr>
          <w:rFonts w:eastAsia="Times New Roman" w:cs="Times New Roman" w:ascii="Times New Roman" w:hAnsi="Times New Roman"/>
          <w:sz w:val="26"/>
          <w:szCs w:val="26"/>
        </w:rPr>
        <w:t xml:space="preserve"> </w:t>
      </w:r>
      <w:r>
        <w:rPr>
          <w:rFonts w:eastAsia="Times New Roman" w:cs="Times New Roman" w:ascii="Times New Roman" w:hAnsi="Times New Roman"/>
          <w:color w:val="000000"/>
          <w:sz w:val="26"/>
          <w:szCs w:val="26"/>
        </w:rPr>
        <w:t>Воронежской области</w:t>
      </w:r>
      <w:r>
        <w:rPr>
          <w:rFonts w:eastAsia="Times New Roman" w:cs="Times New Roman" w:ascii="Times New Roman" w:hAnsi="Times New Roman"/>
          <w:sz w:val="26"/>
          <w:szCs w:val="26"/>
        </w:rPr>
        <w:t xml:space="preserve">; </w:t>
      </w:r>
    </w:p>
    <w:p>
      <w:pPr>
        <w:pStyle w:val="Normal"/>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8) развитие конкуренции при осуществлении закупок; </w:t>
      </w:r>
      <w:r>
        <w:br w:type="page"/>
      </w:r>
    </w:p>
    <w:p>
      <w:pPr>
        <w:pStyle w:val="Normal"/>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9) повышение уровня защиты прав потребителей;</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10) устранение избыточного государственного регулирования и снижение административных барьеров.</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3. В «дорожной карте» определены первоочередные мероприятия по развитию конкуренции, в том числе организационно-методические мероприятия по внедрению стандарта развития конкуренции в Павловском муниципальном районе Воронежской области, повышению информационной прозрачности деятельности органов местного самоуправления Павловского муниципального района Воронежской области, реализация которых будет способствовать развитию добросовестной конкуренции и созданию эффективной конкурентной среды на рынках товаров, работ и услуг на территории Павловского муниципального района Воронежской области.</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В «дорожной карте» определены первоочередные мероприятия по развитию конкуренции на отдельных отраслевых рынках, признанных приоритетными с точки зрения развития на них конкуренции, реализация которых позволит достичь улучшения качества жизни жителей Павловского муниципального района Воронежской области за краткосрочный период. </w:t>
      </w:r>
    </w:p>
    <w:p>
      <w:pPr>
        <w:pStyle w:val="Normal"/>
        <w:spacing w:lineRule="auto" w:line="240" w:before="0" w:after="0"/>
        <w:ind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Разработанные меры охватывают рынки сельскохозяйственной техники, комплектующих и запасных частей, овощной и свежей фруктово-ягодной продукции, туристских услуг, услуг дошкольного образования, услуг среднего профессионального образования, услуг дополнительного образования детей, психолого-педагогического сопровождения детей с ограниченными возможностями здоровья, социальных услуг, ритуальных услуг, теплоснабжения (производство тепловой энергии), услуг по сбору и транспортированию твердых коммунальных отходов, выполнения работ по благоустройству городской среды, выполнения работ по содержанию и текущему ремонту общего имущества собственников помещений в многоквартирном доме, оказания услуг по перевозке пассажиров автомобильным транспортом по муниципальным маршрутам регулярных перевозок, оказания услуг по перевозке пассажиров автомобильным транспортом по межмуниципальным маршрутам регулярных перевозок, оказания услуг по ремонту автотранспортных средств, услуг связи, в том числе услуг по предоставлению широкополосного доступа к информационно-телекоммуникационной сети «Интернет», жилищного строительства, строительства объектов капитального строительства, за исключением жилищного и дорожного строительства, дорожной деятельности (за исключением проектирования), архитектурно-строительного проектирования, лабораторных исследований для выдачи ветеринарных сопроводительных документов, племенного животноводства, семеноводства, товарной аквакультуры, добычи общераспространенных полезных ископаемых на участках недр местного значения,  обработки древесины и производства изделий из дерева, производства бетона, сферу наружной рекламы. </w:t>
      </w:r>
    </w:p>
    <w:p>
      <w:pPr>
        <w:pStyle w:val="Normal"/>
        <w:spacing w:lineRule="auto" w:line="240" w:before="0" w:after="0"/>
        <w:ind w:firstLine="709"/>
        <w:jc w:val="both"/>
        <w:rPr>
          <w:rFonts w:ascii="Times New Roman" w:hAnsi="Times New Roman" w:cs="Times New Roman"/>
          <w:sz w:val="26"/>
          <w:szCs w:val="26"/>
        </w:rPr>
      </w:pPr>
      <w:r>
        <w:rPr>
          <w:rFonts w:eastAsia="Times New Roman" w:cs="Times New Roman" w:ascii="Times New Roman" w:hAnsi="Times New Roman"/>
          <w:color w:val="000000"/>
          <w:sz w:val="26"/>
          <w:szCs w:val="26"/>
        </w:rPr>
        <w:t xml:space="preserve">4. Мероприятия по развитию конкуренции, предусмотренные в действующих стратегических и программных документах Павловского муниципального района Воронежской области, являются </w:t>
      </w:r>
      <w:r>
        <w:rPr>
          <w:rFonts w:cs="Times New Roman" w:ascii="Times New Roman" w:hAnsi="Times New Roman"/>
          <w:sz w:val="26"/>
          <w:szCs w:val="26"/>
        </w:rPr>
        <w:t>неотъемлемым дополнением к мероприятиям, предусмотренным «дорожной картой», и указаны в приложении к ней.</w:t>
      </w:r>
    </w:p>
    <w:p>
      <w:pPr>
        <w:pStyle w:val="Normal"/>
        <w:spacing w:lineRule="auto" w:line="240" w:before="0" w:after="0"/>
        <w:rPr>
          <w:rFonts w:ascii="Times New Roman" w:hAnsi="Times New Roman" w:eastAsia="Times New Roman" w:cs="Times New Roman"/>
          <w:b/>
          <w:bCs/>
          <w:color w:val="000000"/>
          <w:sz w:val="26"/>
          <w:szCs w:val="26"/>
        </w:rPr>
      </w:pPr>
      <w:r>
        <w:rPr>
          <w:rFonts w:eastAsia="Times New Roman" w:cs="Times New Roman" w:ascii="Times New Roman" w:hAnsi="Times New Roman"/>
          <w:b/>
          <w:bCs/>
          <w:color w:val="000000"/>
          <w:sz w:val="26"/>
          <w:szCs w:val="26"/>
        </w:rPr>
      </w:r>
    </w:p>
    <w:tbl>
      <w:tblPr>
        <w:tblW w:w="15960" w:type="dxa"/>
        <w:jc w:val="center"/>
        <w:tblInd w:w="0" w:type="dxa"/>
        <w:tblLayout w:type="fixed"/>
        <w:tblCellMar>
          <w:top w:w="0" w:type="dxa"/>
          <w:left w:w="108" w:type="dxa"/>
          <w:bottom w:w="0" w:type="dxa"/>
          <w:right w:w="108" w:type="dxa"/>
        </w:tblCellMar>
        <w:tblLook w:val="04a0"/>
      </w:tblPr>
      <w:tblGrid>
        <w:gridCol w:w="750"/>
        <w:gridCol w:w="2247"/>
        <w:gridCol w:w="3"/>
        <w:gridCol w:w="26"/>
        <w:gridCol w:w="28"/>
        <w:gridCol w:w="1577"/>
        <w:gridCol w:w="3"/>
        <w:gridCol w:w="24"/>
        <w:gridCol w:w="2254"/>
        <w:gridCol w:w="16"/>
        <w:gridCol w:w="32"/>
        <w:gridCol w:w="1993"/>
        <w:gridCol w:w="2"/>
        <w:gridCol w:w="959"/>
        <w:gridCol w:w="1"/>
        <w:gridCol w:w="853"/>
        <w:gridCol w:w="3"/>
        <w:gridCol w:w="838"/>
        <w:gridCol w:w="1"/>
        <w:gridCol w:w="854"/>
        <w:gridCol w:w="2"/>
        <w:gridCol w:w="854"/>
        <w:gridCol w:w="841"/>
        <w:gridCol w:w="1798"/>
      </w:tblGrid>
      <w:tr>
        <w:trPr>
          <w:trHeight w:val="1080" w:hRule="atLeast"/>
        </w:trPr>
        <w:tc>
          <w:tcPr>
            <w:tcW w:w="7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76"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мероприятия</w:t>
            </w:r>
          </w:p>
        </w:tc>
        <w:tc>
          <w:tcPr>
            <w:tcW w:w="1632" w:type="dxa"/>
            <w:gridSpan w:val="4"/>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Срок исполнения мероприятия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(годы)</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Ожидаемый результат</w:t>
            </w:r>
          </w:p>
        </w:tc>
        <w:tc>
          <w:tcPr>
            <w:tcW w:w="20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показателя</w:t>
            </w:r>
          </w:p>
        </w:tc>
        <w:tc>
          <w:tcPr>
            <w:tcW w:w="9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Единицы измерения</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Базовое значение</w:t>
            </w:r>
          </w:p>
        </w:tc>
        <w:tc>
          <w:tcPr>
            <w:tcW w:w="339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Целевые значения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показателя</w:t>
            </w:r>
          </w:p>
        </w:tc>
        <w:tc>
          <w:tcPr>
            <w:tcW w:w="17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Ответственные исполнители,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соисполнители</w:t>
            </w:r>
          </w:p>
        </w:tc>
      </w:tr>
      <w:tr>
        <w:trPr>
          <w:trHeight w:val="1706" w:hRule="atLeast"/>
        </w:trPr>
        <w:tc>
          <w:tcPr>
            <w:tcW w:w="7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76"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632" w:type="dxa"/>
            <w:gridSpan w:val="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 января 2022 года</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 декабря 2022 года</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 декабря 2023</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года</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 декабря 2024</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года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 декабря 2025 года</w:t>
            </w:r>
          </w:p>
        </w:tc>
        <w:tc>
          <w:tcPr>
            <w:tcW w:w="17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Мероприятия по содействию развитию конкуренции на приоритетных рынках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Рынок овощной и свежей фруктово-ягодной продукции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Число организаций и субъектов предпринимательства </w:t>
            </w:r>
            <w:r>
              <w:rPr>
                <w:rFonts w:eastAsia="Times New Roman" w:cs="Times New Roman" w:ascii="Times New Roman" w:hAnsi="Times New Roman"/>
                <w:bCs/>
                <w:color w:val="000000"/>
                <w:sz w:val="24"/>
                <w:szCs w:val="24"/>
              </w:rPr>
              <w:t xml:space="preserve">в Павловском муниципальном районе </w:t>
            </w:r>
            <w:r>
              <w:rPr>
                <w:rFonts w:cs="Times New Roman" w:ascii="Times New Roman" w:hAnsi="Times New Roman"/>
                <w:sz w:val="24"/>
                <w:szCs w:val="24"/>
              </w:rPr>
              <w:t>Воронежской области, осуществляющих производство овощной и фруктово-ягодной продукции, составляет в 2022 году 4 единицы.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Недостаточно обеспечено участие сельхозтоваропроизводителей, производящих овощную и фруктово-ягодную продукцию, в выставках и ярмарках «выходного дня».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Недостаточная удовлетворенность потребителей круглогодичной доступностью и качеством овощной и свежей фруктово-ягодной продукции.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Основные цели реализации: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увеличение числа организаций и субъектов предпринимательства </w:t>
            </w:r>
            <w:r>
              <w:rPr>
                <w:rFonts w:eastAsia="Times New Roman" w:cs="Times New Roman" w:ascii="Times New Roman" w:hAnsi="Times New Roman"/>
                <w:bCs/>
                <w:color w:val="000000"/>
                <w:sz w:val="24"/>
                <w:szCs w:val="24"/>
              </w:rPr>
              <w:t>в Павловском муниципальном районе</w:t>
            </w:r>
            <w:r>
              <w:rPr>
                <w:rFonts w:cs="Times New Roman" w:ascii="Times New Roman" w:hAnsi="Times New Roman"/>
                <w:sz w:val="24"/>
                <w:szCs w:val="24"/>
              </w:rPr>
              <w:t xml:space="preserve"> Воронежской области, осуществляющих производство овощной и фруктово-ягодной продукции;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повышение уровня удовлетворенности потребителей (включая переработчиков продукции) качеством овощной и фруктово-ягодной продукции, реализуемой на территории Воронежской области.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существенные затраты на строительство хранилищ, оптово-логистических центров и обеспечение их необходимым оборудованием для сохранности товарного вида</w:t>
            </w:r>
            <w:r>
              <w:rPr>
                <w:rFonts w:cs="Times New Roman" w:ascii="Times New Roman" w:hAnsi="Times New Roman"/>
                <w:b/>
                <w:sz w:val="24"/>
                <w:szCs w:val="24"/>
              </w:rPr>
              <w:t xml:space="preserve"> </w:t>
            </w:r>
            <w:r>
              <w:rPr>
                <w:rFonts w:cs="Times New Roman" w:ascii="Times New Roman" w:hAnsi="Times New Roman"/>
                <w:sz w:val="24"/>
                <w:szCs w:val="24"/>
              </w:rPr>
              <w:t>овощной и свежей фруктово-ягодной продукции, мойки, подработки, сортировки, упаковки продукции;</w:t>
            </w:r>
          </w:p>
          <w:p>
            <w:pPr>
              <w:pStyle w:val="Normal"/>
              <w:tabs>
                <w:tab w:val="clear" w:pos="708"/>
                <w:tab w:val="center" w:pos="1304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высокий уровень капитальных затрат на внедрение передовых технологий, увеличение производительности труда при производстве ягод и овощей;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к качеству товара, предъявляемые торговыми сетями.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 увеличение площадей интенсивных садов; - увеличение количества площадей теплиц; - развитие органических производств</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lineRule="auto" w:line="240"/>
              <w:ind w:hanging="0" w:left="0"/>
              <w:jc w:val="both"/>
              <w:rPr>
                <w:rFonts w:cs="Times New Roman"/>
                <w:sz w:val="24"/>
                <w:szCs w:val="24"/>
                <w:lang w:eastAsia="ru-RU"/>
              </w:rPr>
            </w:pPr>
            <w:r>
              <w:rPr>
                <w:rFonts w:cs="Times New Roman"/>
                <w:sz w:val="24"/>
                <w:szCs w:val="24"/>
                <w:lang w:eastAsia="ru-RU"/>
              </w:rPr>
              <w:t>Обеспечение участия сельхозтоваропроизводителей, производящих овощную и фруктово-ягодную продукцию, в ярмарках «выходного дня»</w:t>
            </w:r>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lineRule="auto" w:line="240"/>
              <w:ind w:hanging="0" w:left="0"/>
              <w:jc w:val="both"/>
              <w:rPr>
                <w:rFonts w:cs="Times New Roman"/>
                <w:sz w:val="24"/>
                <w:szCs w:val="24"/>
              </w:rPr>
            </w:pPr>
            <w:r>
              <w:rPr>
                <w:rFonts w:cs="Times New Roman"/>
                <w:sz w:val="24"/>
                <w:szCs w:val="24"/>
                <w:lang w:eastAsia="ru-RU"/>
              </w:rPr>
              <w:t>Расширение доступа сельхозтоваропроизводителей к локальным рынкам овощной продукции</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57"/>
              <w:jc w:val="both"/>
              <w:rPr>
                <w:rFonts w:ascii="Times New Roman" w:hAnsi="Times New Roman" w:cs="Times New Roman"/>
                <w:sz w:val="24"/>
                <w:szCs w:val="24"/>
                <w:lang w:eastAsia="en-US"/>
              </w:rPr>
            </w:pPr>
            <w:r>
              <w:rPr>
                <w:rFonts w:cs="Times New Roman" w:ascii="Times New Roman" w:hAnsi="Times New Roman"/>
                <w:sz w:val="24"/>
                <w:szCs w:val="24"/>
                <w:lang w:eastAsia="en-US"/>
              </w:rPr>
              <w:t>Удовлетворенность потребителей (включая переработчиков продукции) качеством овощной и фруктово-ягодной продукции, реализуемой на территории Воронежской области</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90,3</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90,5</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91,0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shd w:fill="FFFFFF" w:val="clear"/>
              </w:rPr>
            </w:pPr>
            <w:r>
              <w:rPr>
                <w:rFonts w:cs="Times New Roman" w:ascii="Times New Roman" w:hAnsi="Times New Roman"/>
                <w:sz w:val="24"/>
                <w:szCs w:val="24"/>
                <w:shd w:fill="FFFFFF" w:val="clear"/>
                <w:lang w:eastAsia="en-US"/>
              </w:rPr>
              <w:t>95,0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95,0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Оказание информационно-консультационной помощи начинающим фермерам при организации производства овощной и фруктово-ягодной продукции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center"/>
              <w:rPr>
                <w:rFonts w:ascii="Times New Roman" w:hAnsi="Times New Roman" w:cs="Times New Roman"/>
                <w:sz w:val="24"/>
                <w:szCs w:val="24"/>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rPr>
              <w:t>Повышение информированности предпринимателей, упрощение ведения деятельности</w:t>
            </w:r>
          </w:p>
        </w:tc>
        <w:tc>
          <w:tcPr>
            <w:tcW w:w="20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Число организаций и субъектов предпринимательства Воронежской области, осуществляющих производство овощной и фруктово-ягодной продукции</w:t>
            </w:r>
          </w:p>
        </w:tc>
        <w:tc>
          <w:tcPr>
            <w:tcW w:w="9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Единицы</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4</w:t>
            </w:r>
          </w:p>
        </w:tc>
        <w:tc>
          <w:tcPr>
            <w:tcW w:w="84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4</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4</w:t>
            </w:r>
          </w:p>
        </w:tc>
        <w:tc>
          <w:tcPr>
            <w:tcW w:w="85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5</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5</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Информирование о существующих мерах государственной поддержки сельхозпроизводителей Павловского муниципального района Воронежской области, в том числе на 1 га производимых овощей открытого грунта и на закладку и уход за многолетними насаждениями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center"/>
              <w:rPr>
                <w:rFonts w:ascii="Times New Roman" w:hAnsi="Times New Roman" w:cs="Times New Roman"/>
                <w:sz w:val="24"/>
                <w:szCs w:val="24"/>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Увеличение количества организаций частной формы собственности, осуществляющих деятельность на рынке</w:t>
            </w:r>
          </w:p>
          <w:p>
            <w:pPr>
              <w:pStyle w:val="Normal"/>
              <w:spacing w:lineRule="auto" w:line="240" w:before="0" w:after="0"/>
              <w:ind w:firstLine="26" w:left="57" w:right="57"/>
              <w:jc w:val="both"/>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9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57"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туристских услуг</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sz w:val="24"/>
                <w:szCs w:val="24"/>
              </w:rPr>
              <w:t>(ответственный исполнитель</w:t>
            </w:r>
            <w:r>
              <w:rPr>
                <w:rFonts w:cs="Times New Roman" w:ascii="Times New Roman" w:hAnsi="Times New Roman"/>
                <w:i/>
                <w:sz w:val="24"/>
                <w:szCs w:val="24"/>
              </w:rPr>
              <w:t xml:space="preserve"> – </w:t>
            </w:r>
            <w:r>
              <w:rPr>
                <w:rFonts w:cs="Times New Roman" w:ascii="Times New Roman" w:hAnsi="Times New Roman"/>
                <w:sz w:val="24"/>
                <w:szCs w:val="24"/>
              </w:rPr>
              <w:t>Муниципальный отдел по культуре и межнациональным вопросам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shd w:fill="FFFFFF" w:val="clear"/>
              </w:rPr>
              <w:t>В рамках муниципальной программы Павловского муниципального района Воронежской области «Развитие культуры» реализуется основное мероприятие «Развитие туризма».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Основными объектами туристического показа в Павловском муниципальном районе являются: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МКУК «Павловский районный краеведческий музей» (Дом купца Одинцова)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Музей Российского флота имени Петра Ляшенко при МКУ ДО «Павловская СЮТ»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Здание пожарной части с каланчой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Преображенский храм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Покровский храм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Здание реального училища (Павловский филиал ГБПОУ ВО «Губернский педагогический колледж»)</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Здание женской Ольгинской гимназии (МБОУ «Павловская СОШ с УИОП»)</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Дом купца Антонова (Центральная библиотека им. А.С. Пушкина МКУК «Павловская МЦБ»)</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Казанский храм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Духовное училище (ГБПОУ ВО Павловский техникум)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Мемориальный комплекс (Центральный городской парк)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Лавки купца Зайцева</w:t>
            </w:r>
          </w:p>
          <w:p>
            <w:pPr>
              <w:pStyle w:val="Normal"/>
              <w:spacing w:lineRule="auto" w:line="240" w:before="0" w:after="0"/>
              <w:jc w:val="both"/>
              <w:rPr>
                <w:rFonts w:ascii="Times New Roman" w:hAnsi="Times New Roman"/>
              </w:rPr>
            </w:pPr>
            <w:r>
              <w:rPr>
                <w:rFonts w:cs="Times New Roman" w:ascii="Times New Roman" w:hAnsi="Times New Roman"/>
                <w:sz w:val="24"/>
                <w:szCs w:val="24"/>
              </w:rPr>
              <w:t xml:space="preserve">Объём туристического потока в </w:t>
            </w:r>
            <w:r>
              <w:rPr>
                <w:rFonts w:cs="Times New Roman" w:ascii="Times New Roman" w:hAnsi="Times New Roman"/>
              </w:rPr>
              <w:t xml:space="preserve">2022 году </w:t>
            </w:r>
            <w:r>
              <w:rPr>
                <w:rFonts w:ascii="Times New Roman" w:hAnsi="Times New Roman"/>
              </w:rPr>
              <w:t>146326 человек (480 экскурсий).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Основные цели развития конкуренции на рынке туристских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развитие туристской инфраструктуры, обеспечивающей существенный вклад в экономику региона;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предоставление качественного регионального туристского продукта потребителям на внутреннем и международном рынках за счет</w:t>
            </w:r>
            <w:r>
              <w:rPr>
                <w:rFonts w:cs="Times New Roman" w:ascii="Times New Roman" w:hAnsi="Times New Roman"/>
                <w:color w:val="FF0000"/>
                <w:sz w:val="24"/>
                <w:szCs w:val="24"/>
              </w:rPr>
              <w:t xml:space="preserve"> </w:t>
            </w:r>
            <w:r>
              <w:rPr>
                <w:rFonts w:cs="Times New Roman" w:ascii="Times New Roman" w:hAnsi="Times New Roman"/>
                <w:sz w:val="24"/>
                <w:szCs w:val="24"/>
              </w:rPr>
              <w:t>увеличения количества организаций частной формы собственности на рынке туристских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отсутствуют.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 значительные первоначальные капитальные вложения при длительных сроках окупаемости этих вложений.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Перспективы развития рынка: увеличение объема въездного туристического потока и прирост количества хозяйствующих субъектов на рынке</w:t>
            </w:r>
            <w:r>
              <w:rPr>
                <w:rFonts w:eastAsia="Calibri" w:cs="Times New Roman" w:ascii="Times New Roman" w:hAnsi="Times New Roman"/>
                <w:sz w:val="24"/>
                <w:szCs w:val="24"/>
                <w:lang w:eastAsia="en-US"/>
              </w:rPr>
              <w:t>.</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Оказание мер финансовой поддержки субъектам МСП и НКО, </w:t>
            </w:r>
            <w:r>
              <w:rPr>
                <w:rFonts w:cs="Times New Roman" w:ascii="Times New Roman" w:hAnsi="Times New Roman"/>
                <w:sz w:val="24"/>
                <w:szCs w:val="24"/>
              </w:rPr>
              <w:t>осуществляющим деятельность по приоритетным направлениям туризма, с использованием конкурсных механизмов поддержки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rPr>
              <w:t>Увеличение количества объектов туристской инфраструктуры, отвечающих стандартам качественных туристских услуг</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lang w:eastAsia="en-US"/>
              </w:rPr>
              <w:t>Количество субъектов МСП осуществляющих деятельность на рынке</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Единиц</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shd w:fill="FFFFFF" w:val="clear"/>
              </w:rPr>
            </w:pPr>
            <w:r>
              <w:rPr>
                <w:rFonts w:cs="Times New Roman" w:ascii="Times New Roman" w:hAnsi="Times New Roman"/>
                <w:sz w:val="24"/>
                <w:szCs w:val="24"/>
                <w:shd w:fill="FFFFFF" w:val="clear"/>
              </w:rPr>
              <w:t>31</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shd w:fill="FFFFFF" w:val="clear"/>
              </w:rPr>
            </w:pPr>
            <w:r>
              <w:rPr>
                <w:rFonts w:cs="Times New Roman" w:ascii="Times New Roman" w:hAnsi="Times New Roman"/>
                <w:sz w:val="24"/>
                <w:szCs w:val="24"/>
                <w:shd w:fill="FFFFFF" w:val="clear"/>
              </w:rPr>
              <w:t>32</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left"/>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lang w:val="en-US"/>
              </w:rPr>
              <w:t>II</w:t>
            </w:r>
            <w:r>
              <w:rPr>
                <w:rFonts w:cs="Times New Roman" w:ascii="Times New Roman" w:hAnsi="Times New Roman"/>
                <w:b/>
                <w:sz w:val="24"/>
                <w:szCs w:val="24"/>
              </w:rPr>
              <w:t>.</w:t>
            </w:r>
            <w:r>
              <w:rPr>
                <w:rFonts w:cs="Times New Roman" w:ascii="Times New Roman" w:hAnsi="Times New Roman"/>
                <w:b/>
                <w:sz w:val="24"/>
                <w:szCs w:val="24"/>
                <w:lang w:val="en-US"/>
              </w:rPr>
              <w:t>   </w:t>
            </w:r>
            <w:r>
              <w:rPr>
                <w:rFonts w:cs="Times New Roman" w:ascii="Times New Roman" w:hAnsi="Times New Roman"/>
                <w:b/>
                <w:sz w:val="24"/>
                <w:szCs w:val="24"/>
              </w:rPr>
              <w:t>Мероприятия по содействию развитию конкуренции на товарных рынках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услуг дополнительного образования детей</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Муниципальный отдел по образованию, молодежной политике и спорту администрации Павловского муниципального района Воронежской области)</w:t>
            </w:r>
          </w:p>
        </w:tc>
      </w:tr>
      <w:tr>
        <w:trPr>
          <w:trHeight w:val="3429" w:hRule="atLeast"/>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Дополнительным образованием в Павловском муниципальном районе охвачено 3231 ребенок. В сеть организаций дополнительного образования детей Павловского муниципального района входит 4 муниципальные казенные образовательные организации  дополнительного образования детей. Главная цель работы организаций  дополнительного образования Павловского муниципального района: помочь ребенку познать и улучшить окружающий мир, развить свои способности, стать достойным гражданином своей страны и мирового демократического общества.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недостаточная платежеспособность населения;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недостаточное обеспечение  разнообразия направлений деятельности в частных организаций дополнительного образования.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услуг дополнительного образования детей – удовлетворение острой потребности населения Воронежской области в услугах дополнительного образования детей в возрасте от 5 до18 лет, обеспечение повышения удовлетворенности потребителей качеством и выбором услуг путем создания условий для развития деятельности организаций дополнительного образования негосударственной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сложный порядок лицензирования образовательной деятельности, высокие требования к организации для получения лицензии;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санитарного законодательства,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надзорных органов (пожнадзора);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к комплексной безопасности;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требования к квалификации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 значительные финансовые затраты  в связи с высокими ставками арендной платы, серьезными  лицензионными требованиями к оборудованию и помещениям при создании организаций дополнительного образования.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увеличение доли организаций частной формы собственности в сфере услуг дополнительного образования детей.</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Реализация механизма персонифицированного финансирования образовательных программ и организаций в сфере оказания услуг дополнительного образования детей, единого для государственных (муниципальных) и частных (негосударственных, немуниципальных) организаций</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5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65"/>
              <w:jc w:val="both"/>
              <w:rPr>
                <w:rFonts w:ascii="Times New Roman" w:hAnsi="Times New Roman" w:cs="Times New Roman"/>
                <w:sz w:val="24"/>
                <w:szCs w:val="24"/>
              </w:rPr>
            </w:pPr>
            <w:r>
              <w:rPr>
                <w:rFonts w:cs="Times New Roman" w:ascii="Times New Roman" w:hAnsi="Times New Roman"/>
                <w:sz w:val="24"/>
                <w:szCs w:val="24"/>
              </w:rPr>
              <w:t>Повышение конкурентоспособности на основе снижения цены услуг в частных организациях, осуществляющих образовательную деятельность по дополнительным общеобразовательным программам</w:t>
            </w:r>
          </w:p>
        </w:tc>
        <w:tc>
          <w:tcPr>
            <w:tcW w:w="20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услуг дополнительного образования детей</w:t>
            </w:r>
          </w:p>
        </w:tc>
        <w:tc>
          <w:tcPr>
            <w:tcW w:w="9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eastAsia="en-US"/>
              </w:rPr>
              <w:t>Проценты</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4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5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образованию, молодежной политике и спорту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Проведение информационно-просветительской кампании семей по вопросам дополнительного образования детей</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информированности населения по вопросам дополнительного образования детей</w:t>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образованию, молодежной политике и спорту администрации Павловского муниципального района Воронежской области</w:t>
            </w:r>
          </w:p>
        </w:tc>
      </w:tr>
      <w:tr>
        <w:trPr>
          <w:trHeight w:val="247"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Рынок ритуальных услуг</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rHeight w:val="247" w:hRule="atLeast"/>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Проблема: </w:t>
            </w:r>
            <w:r>
              <w:rPr>
                <w:rFonts w:eastAsia="Calibri" w:cs="Times New Roman" w:ascii="Times New Roman" w:hAnsi="Times New Roman"/>
                <w:sz w:val="24"/>
                <w:szCs w:val="24"/>
                <w:lang w:eastAsia="en-US"/>
              </w:rPr>
              <w:t>недобросовестная конкуренция на рынке ритуальных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ритуальных услуг: создание в сфере оказания ритуальных услуг конкурентной среды, обеспечивающей эффективное ведение бизнеса на территории Павловского муниципального района Воронежской области.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 издержки для создания материально-технической базы (в том числе транспорта).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устранение недобросовестной конкуренции, обеспечение качества ритуальных услуг.</w:t>
            </w:r>
          </w:p>
        </w:tc>
      </w:tr>
      <w:tr>
        <w:trPr>
          <w:trHeight w:val="247"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shd w:fill="FFFFFF" w:val="clear"/>
              </w:rPr>
            </w:pPr>
            <w:r>
              <w:rPr>
                <w:rFonts w:cs="Times New Roman" w:ascii="Times New Roman" w:hAnsi="Times New Roman"/>
                <w:sz w:val="24"/>
                <w:szCs w:val="24"/>
                <w:shd w:fill="FFFFFF" w:val="clear"/>
              </w:rPr>
              <w:t>Проведение мониторинга состояния конкурентной среды на рынке ритуальных услуг Павловского района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Устранение недобросовестной конкуренции на рынке ритуальных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ритуальных услуг</w:t>
            </w:r>
          </w:p>
        </w:tc>
        <w:tc>
          <w:tcPr>
            <w:tcW w:w="9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60,0</w:t>
            </w:r>
          </w:p>
        </w:tc>
        <w:tc>
          <w:tcPr>
            <w:tcW w:w="84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62,0</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64,0</w:t>
            </w:r>
          </w:p>
        </w:tc>
        <w:tc>
          <w:tcPr>
            <w:tcW w:w="85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100</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rHeight w:val="247"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Актуализация не реже одного раза в год реестра участников, осуществляющих деятельность на рынке ритуальных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rHeight w:val="247"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4.3</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Осуществление информационно-консультационной помощи субъектам предпринимательской деятельности, осуществляющим деятельность на рынке ритуальных услуг</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качества оказываемых населению ритуальных услуг</w:t>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hd w:fill="FFFFFF" w:val="clear"/>
              </w:rPr>
            </w:pPr>
            <w:r>
              <w:rPr>
                <w:rFonts w:cs="Times New Roman" w:ascii="Times New Roman" w:hAnsi="Times New Roman"/>
                <w:sz w:val="24"/>
                <w:szCs w:val="24"/>
                <w:shd w:fill="FFFFFF" w:val="clear"/>
              </w:rPr>
              <w:t>4.4</w:t>
            </w:r>
          </w:p>
        </w:tc>
        <w:tc>
          <w:tcPr>
            <w:tcW w:w="2304" w:type="dxa"/>
            <w:gridSpan w:val="4"/>
            <w:tcBorders>
              <w:top w:val="single" w:sz="4" w:space="0" w:color="000000"/>
              <w:left w:val="single" w:sz="4" w:space="0" w:color="000000"/>
              <w:bottom w:val="single" w:sz="4" w:space="0" w:color="000000"/>
            </w:tcBorders>
            <w:shd w:color="auto" w:fill="auto" w:val="clear"/>
          </w:tcPr>
          <w:p>
            <w:pPr>
              <w:pStyle w:val="Normal"/>
              <w:spacing w:lineRule="auto" w:line="240" w:before="0" w:after="0"/>
              <w:jc w:val="both"/>
              <w:rPr>
                <w:shd w:fill="FFFFFF" w:val="clear"/>
              </w:rPr>
            </w:pPr>
            <w:r>
              <w:rPr>
                <w:rFonts w:cs="Times New Roman" w:ascii="Times New Roman" w:hAnsi="Times New Roman"/>
                <w:sz w:val="24"/>
                <w:szCs w:val="24"/>
                <w:shd w:fill="FFFFFF" w:val="clear"/>
              </w:rPr>
              <w:t>Организация инвентаризации кладбищ в Павловском муниципальном районе Воронежской области</w:t>
            </w:r>
          </w:p>
        </w:tc>
        <w:tc>
          <w:tcPr>
            <w:tcW w:w="1577"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2024-2025</w:t>
            </w:r>
          </w:p>
        </w:tc>
        <w:tc>
          <w:tcPr>
            <w:tcW w:w="2281" w:type="dxa"/>
            <w:gridSpan w:val="3"/>
            <w:tcBorders>
              <w:top w:val="single" w:sz="4" w:space="0" w:color="000000"/>
              <w:left w:val="single" w:sz="4" w:space="0" w:color="000000"/>
              <w:bottom w:val="single" w:sz="4" w:space="0" w:color="000000"/>
            </w:tcBorders>
            <w:shd w:color="auto" w:fill="auto" w:val="clear"/>
          </w:tcPr>
          <w:p>
            <w:pPr>
              <w:pStyle w:val="Normal"/>
              <w:spacing w:lineRule="auto" w:line="240" w:before="0" w:after="0"/>
              <w:jc w:val="both"/>
              <w:rPr>
                <w:shd w:fill="FFFFFF" w:val="clear"/>
              </w:rPr>
            </w:pPr>
            <w:r>
              <w:rPr>
                <w:rFonts w:cs="Times New Roman" w:ascii="Times New Roman" w:hAnsi="Times New Roman"/>
                <w:sz w:val="24"/>
                <w:szCs w:val="24"/>
                <w:shd w:fill="FFFFFF" w:val="clear"/>
              </w:rPr>
              <w:t>Обеспечение открытости и прозрачности процедур предоставления мест захоронения на кладбищах</w:t>
            </w:r>
          </w:p>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2041" w:type="dxa"/>
            <w:gridSpan w:val="3"/>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 xml:space="preserve">Доля кладбищ, сведения о которых включены в реестр  кладбищ от общего количества кладбищ </w:t>
            </w:r>
            <w:r>
              <w:rPr>
                <w:rFonts w:cs="Times New Roman" w:ascii="Times New Roman" w:hAnsi="Times New Roman"/>
                <w:color w:val="000000"/>
                <w:sz w:val="24"/>
                <w:szCs w:val="24"/>
                <w:shd w:fill="FFFFFF" w:val="clear"/>
              </w:rPr>
              <w:t>Павловского муниципального района Воронежской области</w:t>
            </w:r>
          </w:p>
        </w:tc>
        <w:tc>
          <w:tcPr>
            <w:tcW w:w="961"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hd w:fill="FFFFFF" w:val="clear"/>
              </w:rPr>
              <w:t>Проценты</w:t>
            </w:r>
          </w:p>
        </w:tc>
        <w:tc>
          <w:tcPr>
            <w:tcW w:w="854"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41"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5"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6"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90</w:t>
            </w:r>
          </w:p>
        </w:tc>
        <w:tc>
          <w:tcPr>
            <w:tcW w:w="841"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hd w:fill="FFFFFF" w:val="clear"/>
              </w:rPr>
              <w:t>Отдел социально-экономического развития, муниципального контроля  и поддержки предприним</w:t>
            </w:r>
            <w:r>
              <w:rPr>
                <w:shd w:fill="FFFFFF" w:val="clear"/>
              </w:rPr>
              <w:t>ат</w:t>
            </w:r>
            <w:r>
              <w:rPr>
                <w:rFonts w:ascii="Times New Roman" w:hAnsi="Times New Roman"/>
                <w:shd w:fill="FFFFFF" w:val="clear"/>
              </w:rPr>
              <w:t>ельства администрации Павловского муниципального района</w:t>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4.5</w:t>
            </w:r>
          </w:p>
        </w:tc>
        <w:tc>
          <w:tcPr>
            <w:tcW w:w="2304" w:type="dxa"/>
            <w:gridSpan w:val="4"/>
            <w:tcBorders>
              <w:left w:val="single" w:sz="4" w:space="0" w:color="000000"/>
              <w:bottom w:val="single" w:sz="4" w:space="0" w:color="000000"/>
            </w:tcBorders>
            <w:shd w:color="auto" w:fill="auto" w:val="clear"/>
          </w:tcPr>
          <w:p>
            <w:pPr>
              <w:pStyle w:val="Normal"/>
              <w:spacing w:lineRule="auto" w:line="240" w:before="0" w:after="0"/>
              <w:jc w:val="both"/>
              <w:rPr>
                <w:shd w:fill="FFFFFF" w:val="clear"/>
              </w:rPr>
            </w:pPr>
            <w:r>
              <w:rPr>
                <w:rFonts w:ascii="Times New Roman" w:hAnsi="Times New Roman"/>
                <w:sz w:val="24"/>
                <w:szCs w:val="24"/>
                <w:shd w:fill="FFFFFF" w:val="clear"/>
              </w:rPr>
              <w:t>Создание в Павловском муниципальном районе Воронежской области реестра кладбищ. с размещением его на официальном сайте</w:t>
            </w:r>
          </w:p>
        </w:tc>
        <w:tc>
          <w:tcPr>
            <w:tcW w:w="1577"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2024-2025</w:t>
            </w:r>
          </w:p>
        </w:tc>
        <w:tc>
          <w:tcPr>
            <w:tcW w:w="2281"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2041"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961" w:type="dxa"/>
            <w:gridSpan w:val="2"/>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Да/Нет</w:t>
            </w:r>
          </w:p>
        </w:tc>
        <w:tc>
          <w:tcPr>
            <w:tcW w:w="854"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5"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6" w:type="dxa"/>
            <w:gridSpan w:val="2"/>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trPr/>
        <w:tc>
          <w:tcPr>
            <w:tcW w:w="750"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hd w:fill="FFFFFF" w:val="clear"/>
              </w:rPr>
            </w:pPr>
            <w:r>
              <w:rPr>
                <w:rFonts w:cs="Times New Roman" w:ascii="Times New Roman" w:hAnsi="Times New Roman"/>
                <w:sz w:val="24"/>
                <w:szCs w:val="24"/>
                <w:shd w:fill="FFFFFF" w:val="clear"/>
              </w:rPr>
              <w:t>4.6</w:t>
            </w:r>
          </w:p>
        </w:tc>
        <w:tc>
          <w:tcPr>
            <w:tcW w:w="2304" w:type="dxa"/>
            <w:gridSpan w:val="4"/>
            <w:tcBorders>
              <w:left w:val="single" w:sz="4" w:space="0" w:color="000000"/>
              <w:bottom w:val="single" w:sz="4" w:space="0" w:color="000000"/>
            </w:tcBorders>
            <w:shd w:color="auto" w:fill="auto" w:val="clear"/>
          </w:tcPr>
          <w:p>
            <w:pPr>
              <w:pStyle w:val="Normal"/>
              <w:spacing w:lineRule="auto" w:line="240" w:before="0" w:after="0"/>
              <w:jc w:val="both"/>
              <w:rPr>
                <w:shd w:fill="FFFFFF" w:val="clear"/>
              </w:rPr>
            </w:pPr>
            <w:r>
              <w:rPr>
                <w:rFonts w:ascii="Times New Roman" w:hAnsi="Times New Roman"/>
                <w:sz w:val="24"/>
                <w:szCs w:val="24"/>
                <w:shd w:fill="FFFFFF" w:val="clear"/>
              </w:rPr>
              <w:t>Доведение до населения Павловского муниципального Воронежской области информации, в том числе с использованием СМИ о создании реестров кладбищ</w:t>
            </w:r>
          </w:p>
        </w:tc>
        <w:tc>
          <w:tcPr>
            <w:tcW w:w="1577"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2024-2025</w:t>
            </w:r>
          </w:p>
        </w:tc>
        <w:tc>
          <w:tcPr>
            <w:tcW w:w="2281"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2041"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961" w:type="dxa"/>
            <w:gridSpan w:val="2"/>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Да/Нет</w:t>
            </w:r>
          </w:p>
        </w:tc>
        <w:tc>
          <w:tcPr>
            <w:tcW w:w="854"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5"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tc>
        <w:tc>
          <w:tcPr>
            <w:tcW w:w="856" w:type="dxa"/>
            <w:gridSpan w:val="2"/>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trPr/>
        <w:tc>
          <w:tcPr>
            <w:tcW w:w="750"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5209" w:type="dxa"/>
            <w:gridSpan w:val="23"/>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теплоснабжения (производство тепловой энергии)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 настоящее время в Павловском муниципальном районе </w:t>
            </w:r>
            <w:r>
              <w:rPr>
                <w:rFonts w:cs="Times New Roman" w:ascii="Times New Roman" w:hAnsi="Times New Roman"/>
                <w:sz w:val="24"/>
                <w:szCs w:val="24"/>
              </w:rPr>
              <w:t>Воронежской области</w:t>
            </w:r>
            <w:r>
              <w:rPr>
                <w:rFonts w:cs="Times New Roman" w:ascii="Times New Roman" w:hAnsi="Times New Roman"/>
                <w:color w:val="000000"/>
                <w:sz w:val="24"/>
                <w:szCs w:val="24"/>
              </w:rPr>
              <w:t xml:space="preserve"> осуществляют деятельность 2 муниципальные организации, предоставляющие услуги теплоснабжения.</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Проблемы:</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высокий уровень износа основных фондов;</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недостаточный уровень качества предоставляемых услуг.</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Цель развития конкуренции на рынке теплоснабжения: </w:t>
            </w:r>
            <w:r>
              <w:rPr>
                <w:rFonts w:cs="Times New Roman" w:ascii="Times New Roman" w:hAnsi="Times New Roman"/>
                <w:color w:val="000000"/>
                <w:sz w:val="24"/>
                <w:szCs w:val="24"/>
              </w:rPr>
              <w:t>обеспечение повышения удовлетворенности потребителей качеством предоставляемых услуг на рынке теплоснабжения.</w:t>
            </w:r>
          </w:p>
          <w:p>
            <w:pPr>
              <w:pStyle w:val="Normal"/>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Административные и экономические барьеры входа на рынок: отсутствие инвестиций в технологическую модернизацию.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themeColor="text1" w:val="000000"/>
                <w:sz w:val="24"/>
                <w:szCs w:val="24"/>
              </w:rPr>
              <w:t>Перспективы развития рынка:</w:t>
            </w:r>
            <w:r>
              <w:rPr>
                <w:rFonts w:cs="Times New Roman" w:ascii="Times New Roman" w:hAnsi="Times New Roman"/>
                <w:sz w:val="24"/>
                <w:szCs w:val="24"/>
              </w:rPr>
              <w:t xml:space="preserve"> рост</w:t>
            </w:r>
            <w:r>
              <w:rPr>
                <w:rFonts w:cs="Times New Roman" w:ascii="Times New Roman" w:hAnsi="Times New Roman"/>
                <w:b/>
                <w:color w:val="FF0000"/>
                <w:sz w:val="24"/>
                <w:szCs w:val="24"/>
              </w:rPr>
              <w:t xml:space="preserve"> </w:t>
            </w:r>
            <w:r>
              <w:rPr>
                <w:rFonts w:eastAsia="TimesNewRomanPSMT" w:cs="Times New Roman" w:ascii="Times New Roman" w:hAnsi="Times New Roman"/>
                <w:sz w:val="24"/>
                <w:szCs w:val="24"/>
              </w:rPr>
              <w:t xml:space="preserve">количества организаций частной формы собственности на рынке, </w:t>
            </w:r>
            <w:r>
              <w:rPr>
                <w:rFonts w:cs="Times New Roman" w:ascii="Times New Roman" w:hAnsi="Times New Roman"/>
                <w:color w:val="000000"/>
                <w:sz w:val="24"/>
                <w:szCs w:val="24"/>
              </w:rPr>
              <w:t>повышение удовлетворенности потребителей качеством предоставляемых услуг на рынке, повышение энергоэффективности в сфере теплоснабжения.</w:t>
            </w:r>
          </w:p>
        </w:tc>
      </w:tr>
      <w:tr>
        <w:trPr>
          <w:trHeight w:val="703"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sz w:val="24"/>
                <w:szCs w:val="24"/>
                <w:lang w:eastAsia="en-US"/>
              </w:rPr>
            </w:pPr>
            <w:r>
              <w:rPr>
                <w:rFonts w:eastAsia="Calibri" w:ascii="Times New Roman" w:hAnsi="Times New Roman"/>
                <w:sz w:val="24"/>
                <w:szCs w:val="24"/>
                <w:lang w:eastAsia="en-US"/>
              </w:rPr>
              <w:t>Оформление правоустанавливающих документов на объекты теплоснабжения, постановка их на кадастровый учет</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Размещение в открытом доступе  перечня объектов теплоснабжения, передача которых в концессию и (или) долгосрочную аренду планируется в течение 3-летнего периода</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теплоснабжения (производство тепловой энергии)</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eastAsia="en-US"/>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услуг по сбору и транспортированию твердых коммунальных отходов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в Павловском муниципальном районе Воронежской области осуществляет деятельность в данном направлении 2 предприятия, 1 из них муниципальной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Проблема: </w:t>
            </w:r>
            <w:r>
              <w:rPr>
                <w:rFonts w:cs="Times New Roman" w:ascii="Times New Roman" w:hAnsi="Times New Roman"/>
                <w:bCs/>
                <w:color w:val="000000"/>
                <w:sz w:val="24"/>
                <w:szCs w:val="24"/>
              </w:rPr>
              <w:t>несовершенство системы централизованного сбора и транспортирования твердых коммунальных отходов в Воронежской области.</w:t>
            </w:r>
            <w:r>
              <w:rPr>
                <w:rFonts w:cs="Times New Roman" w:ascii="Times New Roman" w:hAnsi="Times New Roman"/>
                <w:sz w:val="24"/>
                <w:szCs w:val="24"/>
                <w:lang w:eastAsia="en-US"/>
              </w:rPr>
              <w:t xml:space="preserve"> Действующее законодательство направлено на формирование естественных монополий на рынке по </w:t>
            </w:r>
            <w:r>
              <w:rPr>
                <w:rFonts w:eastAsia="Calibri" w:cs="Times New Roman" w:ascii="Times New Roman" w:hAnsi="Times New Roman"/>
                <w:sz w:val="24"/>
                <w:szCs w:val="24"/>
                <w:lang w:eastAsia="en-US"/>
              </w:rPr>
              <w:t>сбору и транспортированию твердых коммунальных отходов.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услуг по сбору и транспортированию твердых коммунальных отходов:</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lang w:eastAsia="en-US"/>
              </w:rPr>
              <w:t>повышение качества и доступности услуг;</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увеличение объема транспортируемых твердых коммунальных отходов на территории области организациями частной формы собственности.</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определение единого регионального оператора по сбору и транспортированию твердых коммунальных отходов не позволит рынку развиваться.</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Экономические барьеры входа на рынок:</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отсутствие свободных земель, отвечающих требованиям санитарным нормам;</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повышение платы за вывоз мусора.</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Перспективы развития рынка: увеличение доли организаций частной формы собственности в сфере услуг по сбору и транспортированию твердых коммунальных отходов.</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отсутствие свободных земель, отвечающих требованиям санитарных норм;</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повышение платы за вывоз мусора.</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Перспективы развития рынка: увеличение доли организаций частной формы собственности в сфере услуг по сбору и транспортированию твердых коммунальных отходов</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Создание эффективной системы управления обращением с отходами на территории области, инфраструктуры по раздельному сбору, утилизации (использованию), обезвреживанию, экологически и санитарно-эпидемиологически безопасному размещению отходов</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4"/>
                <w:szCs w:val="24"/>
                <w:lang w:eastAsia="en-US"/>
              </w:rPr>
            </w:pPr>
            <w:r>
              <w:rPr>
                <w:rFonts w:cs="Times New Roman" w:ascii="Times New Roman" w:hAnsi="Times New Roman"/>
                <w:sz w:val="24"/>
                <w:szCs w:val="24"/>
              </w:rPr>
              <w:t>Повышение экономической эффективности и конкурентоспособности хозяйствующих субъектов на рынке транспортирования твердых коммунальных отходов</w:t>
            </w:r>
            <w:r>
              <w:rPr>
                <w:rFonts w:cs="Times New Roman" w:ascii="Times New Roman" w:hAnsi="Times New Roman"/>
                <w:sz w:val="24"/>
                <w:szCs w:val="24"/>
                <w:lang w:eastAsia="en-US"/>
              </w:rPr>
              <w:t>. Повышение качества и доступности услуг</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35</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38</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выполнения работ по благоустройству городской среды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настоящее время 4 организации осуществляют деятельность на рынке услуг по благоустройству городской среды.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Благоустройство городской среды (Приказ ФАС России от 29.08.2018 N 1232/18)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Проблема: недостаточное количество </w:t>
            </w:r>
            <w:r>
              <w:rPr>
                <w:rFonts w:cs="Times New Roman" w:ascii="Times New Roman" w:hAnsi="Times New Roman"/>
                <w:sz w:val="24"/>
                <w:szCs w:val="24"/>
              </w:rPr>
              <w:t>организаций частной формы собственности, осуществляющих деятельность на рынке услуг по благоустройству городской среды.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выполнения работ по благоустройству городской среды: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формирование благоприятной, качественной и комфортной среды проживания граждан;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повышение уровня благоустройства озелененных территорий;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благоустройство улиц и общественных пространств.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практическое отсутствие организаций частной формы собственности на рынке.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стоимость необходимой техники и оборудования для благоустройства городской среды;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отсутствие льгот для организаций, осуществляющих деятельность на рынке.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выведение с конкурентного рынка унитарных предприятий, оказывающих услуги по благоустройству городской среды.</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системы организации и осуществления деятельности по благоустройству городской среды с увеличением доли выполненных частными организациями и индивидуальными предпринимателями работ по результатам инвентаризации  технического состояния объектов и в соответствии  с муниципальными программами формирования современной городской среды</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Функционирование эффективной системы организации и осуществления деятельности по благоустройству городской среды с увеличением доли выполненных частными организациями и индивидуальными предпринимателями работ</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выполнения работ по благоустройству городской среды</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82,0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84,0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75,0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75,0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строительству, жилищно-коммунальному хозяйству и транспорту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Администрация городского поселения – город Павловск Павловского муниципального района Воронежской области (по согласованию))</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Проблема: низкое качество оказываемых услуг по содержанию и текущему ремонту общего имущества собственников помещений в многоквартирном доме; низкое качество содержания общего имущества собственников помещений в многоквартирном доме, благоустройство придомовых территорий и т.д.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выполнения работ по содержанию и текущему ремонту общего имущества собственников помещений в многоквартирном доме: поддержание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несовершенство антимонопольного законодательства по проведению конкурсов отбора управляющих организаций, что не обеспечивает хозяйствующим субъектам равного участия на рынке.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 возможность необоснованного укрупнения лотов при организации и проведении конкурсов по отбору управляющей организации.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увеличение количества организаций частной формы собственности на указанном рынке</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sz w:val="24"/>
                <w:szCs w:val="24"/>
                <w:lang w:eastAsia="en-US"/>
              </w:rPr>
              <w:t>Организация проведения открытых конкурсных отборов управляющих организаций для управления многоквартирными домами в установленные сроки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Обеспечение соблюдения органами власти сроков проведения открытых конкурсных отборов управляющих организаций для управления многоквартирными домами</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NewRomanPSMT" w:cs="Times New Roman"/>
                <w:sz w:val="24"/>
                <w:szCs w:val="24"/>
              </w:rPr>
            </w:pPr>
            <w:r>
              <w:rPr>
                <w:rFonts w:eastAsia="TimesNewRomanPSMT" w:cs="Times New Roman" w:ascii="Times New Roman" w:hAnsi="Times New Roman"/>
                <w:sz w:val="24"/>
                <w:szCs w:val="24"/>
              </w:rPr>
              <w:t xml:space="preserve">Администрация городского поселения -    г. Павловск Павловского муниципального района </w:t>
            </w:r>
            <w:r>
              <w:rPr>
                <w:rFonts w:cs="Times New Roman" w:ascii="Times New Roman" w:hAnsi="Times New Roman"/>
                <w:sz w:val="24"/>
                <w:szCs w:val="24"/>
              </w:rPr>
              <w:t>Воронежской области</w:t>
            </w:r>
            <w:r>
              <w:rPr>
                <w:rFonts w:eastAsia="TimesNewRomanPSMT" w:cs="Times New Roman" w:ascii="Times New Roman" w:hAnsi="Times New Roman"/>
                <w:sz w:val="24"/>
                <w:szCs w:val="24"/>
              </w:rPr>
              <w:t xml:space="preserve"> (по согласованию)</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sz w:val="24"/>
                <w:szCs w:val="24"/>
              </w:rPr>
              <w:t>ответственный исполнитель – 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1 организация осуществляет деятельность на рынке услуг по перевозке пассажиров автомобильным транспортом по муниципальным маршрутам регулярных перевозок частной формы собственности.</w:t>
            </w:r>
          </w:p>
          <w:p>
            <w:pPr>
              <w:pStyle w:val="Normal"/>
              <w:spacing w:lineRule="auto" w:line="240" w:before="0" w:after="0"/>
              <w:jc w:val="both"/>
              <w:rPr>
                <w:rFonts w:ascii="Times New Roman" w:hAnsi="Times New Roman"/>
                <w:sz w:val="28"/>
                <w:szCs w:val="28"/>
              </w:rPr>
            </w:pPr>
            <w:r>
              <w:rPr>
                <w:rFonts w:cs="Times New Roman" w:ascii="Times New Roman" w:hAnsi="Times New Roman"/>
                <w:sz w:val="24"/>
                <w:szCs w:val="24"/>
              </w:rPr>
              <w:t>Цели развития конкуренции на рынке:</w:t>
            </w:r>
          </w:p>
          <w:p>
            <w:pPr>
              <w:pStyle w:val="Normal"/>
              <w:spacing w:lineRule="auto" w:line="240" w:before="0" w:after="0"/>
              <w:jc w:val="both"/>
              <w:rPr>
                <w:rFonts w:ascii="Times New Roman" w:hAnsi="Times New Roman" w:cs="Times New Roman"/>
                <w:sz w:val="24"/>
                <w:szCs w:val="24"/>
              </w:rPr>
            </w:pPr>
            <w:r>
              <w:rPr>
                <w:rFonts w:ascii="Times New Roman" w:hAnsi="Times New Roman"/>
                <w:sz w:val="28"/>
                <w:szCs w:val="28"/>
              </w:rPr>
              <w:t xml:space="preserve">- </w:t>
            </w:r>
            <w:r>
              <w:rPr>
                <w:rFonts w:cs="Times New Roman" w:ascii="Times New Roman" w:hAnsi="Times New Roman"/>
                <w:sz w:val="24"/>
                <w:szCs w:val="24"/>
              </w:rPr>
              <w:t>повышение удовлетворенности потребителей качеством и выбором предоставляемых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сохранение доли организаций частной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сложность получения лицензии на перевозку пассажиров.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высокие издержки входа на рынок, обусловленные необходимостью финансовых вложений в приобретение транспортных средств, а также значительными затратами на их содержание, обслуживание и ремонт;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отсутствие развитой инфраструктуры обслуживания транспортных средств.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прирост числа хозяйствующих субъектов частной формы собственности.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строительству, жилищно-коммунальному хозяйству и транспорту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жилищного строительства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(ответственный исполнитель – Отдел социально-экономического развития, муниципального контроля и поддержки предпринимательства администрации Павловского муниципального района, отдел по архитектуре и градостроительству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2020 году на рынке жилищного строительства осуществляли деятельность 2 организации частной формы собственности. Ввод жилья на рынке жилищного строительства в 2020 году составил 11,5 тыс. кв. 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Проблема: снижение платежеспособного спроса на рынке жилищного строительства.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жилищного строительства: сохранение количества частных организаций в общем количестве организаций, осуществляющих деятельность на рынке жилищного строительства.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регистрации субъекта хозяйствования;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изменений в статусе субъекта деятельности;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изменений его уставных документов;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получение права на аренду помещения и земельные участки;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регулирование доступа к кредитам, лизингу;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санкции за нарушение установленных правил;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согласование принимаемых решений с органами власти и контролирующими организациями.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больших стартовых и текущих капиталовложений на создание производственной базы, приобретение технологий и практического опыта;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стоимость проектов строительства;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затраты на переход в другую отрасль или ликвидацию.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сохранение спроса у потребителей на жилье</w:t>
            </w:r>
          </w:p>
        </w:tc>
      </w:tr>
      <w:tr>
        <w:trPr>
          <w:trHeight w:val="1932"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государственной поддержки отдельным категориям граждан для решения жилищной проблемы</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Стимулирование спроса на рынке жилищного строительства</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жилищного строительства</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85,7</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87,5</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архитектуре и градостроительству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дорожной деятельности (за исключением проектирования)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на территории Павловского муниципального района Воронежской области осуществляют деятельность 2 организации частной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Проблема: недостаточное качество предоставляемых услуг на рынке дорожной деятельности.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сохранение количества организаций частной формы собственности, осуществляющих деятельность на рынке, при повышении качества предоставляемых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Ограничения, возникающие при взаимодействии хозяйствующих субъектов с органами государственной власти: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получение разрешений на ввод объекта в эксплуатацию;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получение разрешений и контроль за производством работ Государственной инспекцией безопасности дорожного движения и контролирующих органов.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Условия конкурентного отбора поставщиков товаров (работ, услуг) для государственных нужд.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значительные объемы первоначальных капитальных затрат;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необходимость предоставления обеспечения контракта;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 действующими на рассматриваемом рынке (получение доступа к льготному кредиту, выделению субсидий);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высокие транспортные издержки (цена на топливо);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процентная ставка за привлеченные кредитные средства.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повышение конкуренции на рынке дорожной деятельности и повышение качества предоставляемых услуг</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Проведение анализа состояния и развития конкурентной среды на рынке дорожной деятельности (за исключением проектирования)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Создание условий для развития конкурентной среды на рынке дорожной деятельности (за исключением проектирования)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дорожной деятельности (за исключением проектирования)</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строительству, жилищно-коммунальному хозяйству и транспорту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z w:val="24"/>
                <w:szCs w:val="24"/>
              </w:rPr>
            </w:pPr>
            <w:r>
              <w:rPr>
                <w:rFonts w:cs="Times New Roman" w:ascii="Times New Roman" w:hAnsi="Times New Roman"/>
                <w:sz w:val="24"/>
                <w:szCs w:val="24"/>
              </w:rPr>
              <w:t>12</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b/>
                <w:sz w:val="24"/>
                <w:szCs w:val="24"/>
              </w:rPr>
              <w:t>Рынок племенного животноводства</w:t>
            </w:r>
          </w:p>
          <w:p>
            <w:pPr>
              <w:pStyle w:val="Normal"/>
              <w:spacing w:lineRule="auto" w:line="240" w:before="0" w:after="0"/>
              <w:jc w:val="center"/>
              <w:rPr>
                <w:sz w:val="24"/>
                <w:szCs w:val="24"/>
              </w:rPr>
            </w:pPr>
            <w:r>
              <w:rPr>
                <w:rFonts w:cs="Times New Roman" w:ascii="Times New Roman" w:hAnsi="Times New Roman"/>
                <w:b/>
                <w:sz w:val="24"/>
                <w:szCs w:val="24"/>
              </w:rPr>
              <w:t>(</w:t>
            </w: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4286" w:leader="none"/>
              </w:tabs>
              <w:spacing w:lineRule="auto" w:line="240" w:before="0" w:after="0"/>
              <w:jc w:val="both"/>
              <w:rPr>
                <w:sz w:val="24"/>
                <w:szCs w:val="24"/>
              </w:rPr>
            </w:pPr>
            <w:r>
              <w:rPr>
                <w:rFonts w:cs="Times New Roman" w:ascii="Times New Roman" w:hAnsi="Times New Roman"/>
                <w:sz w:val="24"/>
                <w:szCs w:val="24"/>
              </w:rPr>
              <w:t>В настоящее время на рынке племенного животноводства функционируют 4 организации частной формы собственности.</w:t>
            </w:r>
          </w:p>
          <w:p>
            <w:pPr>
              <w:pStyle w:val="Normal"/>
              <w:spacing w:lineRule="auto" w:line="240" w:before="0" w:after="0"/>
              <w:jc w:val="both"/>
              <w:rPr>
                <w:sz w:val="24"/>
                <w:szCs w:val="24"/>
              </w:rPr>
            </w:pPr>
            <w:r>
              <w:rPr>
                <w:rFonts w:eastAsia="Calibri" w:cs="Times New Roman" w:ascii="Times New Roman" w:hAnsi="Times New Roman"/>
                <w:sz w:val="24"/>
                <w:szCs w:val="24"/>
                <w:lang w:eastAsia="en-US"/>
              </w:rPr>
              <w:t>Проблемы:</w:t>
            </w:r>
          </w:p>
          <w:p>
            <w:pPr>
              <w:pStyle w:val="Normal"/>
              <w:spacing w:lineRule="auto" w:line="240" w:before="0" w:after="0"/>
              <w:jc w:val="both"/>
              <w:rPr>
                <w:sz w:val="24"/>
                <w:szCs w:val="24"/>
              </w:rPr>
            </w:pPr>
            <w:r>
              <w:rPr>
                <w:rFonts w:eastAsia="Calibri" w:cs="Times New Roman" w:ascii="Times New Roman" w:hAnsi="Times New Roman"/>
                <w:sz w:val="24"/>
                <w:szCs w:val="24"/>
                <w:lang w:eastAsia="en-US"/>
              </w:rPr>
              <w:t xml:space="preserve">- </w:t>
            </w:r>
            <w:r>
              <w:rPr>
                <w:rFonts w:cs="Times New Roman" w:ascii="Times New Roman" w:hAnsi="Times New Roman"/>
                <w:sz w:val="24"/>
                <w:szCs w:val="24"/>
              </w:rPr>
              <w:t>низкая конкурентоспособность отечественных предприятий;</w:t>
            </w:r>
          </w:p>
          <w:p>
            <w:pPr>
              <w:pStyle w:val="Normal"/>
              <w:spacing w:lineRule="auto" w:line="240" w:before="0" w:after="0"/>
              <w:jc w:val="both"/>
              <w:rPr>
                <w:sz w:val="24"/>
                <w:szCs w:val="24"/>
              </w:rPr>
            </w:pPr>
            <w:r>
              <w:rPr>
                <w:rFonts w:eastAsia="Calibri" w:cs="Times New Roman" w:ascii="Times New Roman" w:hAnsi="Times New Roman"/>
                <w:sz w:val="24"/>
                <w:szCs w:val="24"/>
                <w:lang w:eastAsia="en-US"/>
              </w:rPr>
              <w:t>- недостаточное количество племенного скота для удовлетворения потребностей сельскохозяйственных товаропроизводителей;</w:t>
            </w:r>
          </w:p>
          <w:p>
            <w:pPr>
              <w:pStyle w:val="Normal"/>
              <w:spacing w:lineRule="auto" w:line="240" w:before="0" w:after="0"/>
              <w:jc w:val="both"/>
              <w:rPr>
                <w:sz w:val="24"/>
                <w:szCs w:val="24"/>
              </w:rPr>
            </w:pPr>
            <w:r>
              <w:rPr>
                <w:rFonts w:cs="Times New Roman" w:ascii="Times New Roman" w:hAnsi="Times New Roman"/>
                <w:sz w:val="24"/>
                <w:szCs w:val="24"/>
              </w:rPr>
              <w:t xml:space="preserve">Цель развития конкуренции на рынке племенного животноводства – сохранение численности частных племенных предприятий; </w:t>
            </w:r>
            <w:r>
              <w:rPr>
                <w:rFonts w:eastAsia="Calibri" w:cs="Times New Roman" w:ascii="Times New Roman" w:hAnsi="Times New Roman"/>
                <w:sz w:val="24"/>
                <w:szCs w:val="24"/>
                <w:lang w:eastAsia="en-US"/>
              </w:rPr>
              <w:t>увеличение продаж племенного скота.</w:t>
            </w:r>
          </w:p>
          <w:p>
            <w:pPr>
              <w:pStyle w:val="Normal"/>
              <w:spacing w:lineRule="auto" w:line="240" w:before="0" w:after="0"/>
              <w:jc w:val="both"/>
              <w:rPr>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rPr>
                <w:sz w:val="24"/>
                <w:szCs w:val="24"/>
              </w:rPr>
            </w:pPr>
            <w:r>
              <w:rPr>
                <w:rFonts w:cs="Times New Roman" w:ascii="Times New Roman" w:hAnsi="Times New Roman"/>
                <w:sz w:val="24"/>
                <w:szCs w:val="24"/>
              </w:rPr>
              <w:t>Административные барьеры для осуществления деятельности  на рынке племенного животноводства отсутствуют</w:t>
            </w:r>
          </w:p>
          <w:p>
            <w:pPr>
              <w:pStyle w:val="Normal"/>
              <w:spacing w:lineRule="auto" w:line="240" w:before="0" w:after="0"/>
              <w:rPr>
                <w:sz w:val="24"/>
                <w:szCs w:val="24"/>
              </w:rPr>
            </w:pPr>
            <w:r>
              <w:rPr>
                <w:rFonts w:cs="Times New Roman" w:ascii="Times New Roman" w:hAnsi="Times New Roman"/>
                <w:sz w:val="24"/>
                <w:szCs w:val="24"/>
              </w:rPr>
              <w:t>Экономические барьеры входа на рынок:</w:t>
            </w:r>
          </w:p>
          <w:p>
            <w:pPr>
              <w:pStyle w:val="Normal"/>
              <w:tabs>
                <w:tab w:val="clear" w:pos="708"/>
                <w:tab w:val="left" w:pos="14286" w:leader="none"/>
              </w:tabs>
              <w:spacing w:lineRule="auto" w:line="240" w:before="0" w:after="0"/>
              <w:rPr>
                <w:sz w:val="24"/>
                <w:szCs w:val="24"/>
              </w:rPr>
            </w:pPr>
            <w:r>
              <w:rPr>
                <w:rFonts w:cs="Times New Roman" w:ascii="Times New Roman" w:hAnsi="Times New Roman"/>
                <w:sz w:val="24"/>
                <w:szCs w:val="24"/>
              </w:rPr>
              <w:t>-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предприятий на модернизацию производства и применение современных технологий;</w:t>
            </w:r>
          </w:p>
          <w:p>
            <w:pPr>
              <w:pStyle w:val="Normal"/>
              <w:tabs>
                <w:tab w:val="clear" w:pos="708"/>
                <w:tab w:val="left" w:pos="14286" w:leader="none"/>
              </w:tabs>
              <w:spacing w:lineRule="auto" w:line="240" w:before="0" w:after="0"/>
              <w:rPr>
                <w:sz w:val="24"/>
                <w:szCs w:val="24"/>
              </w:rPr>
            </w:pPr>
            <w:r>
              <w:rPr>
                <w:rFonts w:cs="Times New Roman" w:ascii="Times New Roman" w:hAnsi="Times New Roman"/>
                <w:sz w:val="24"/>
                <w:szCs w:val="24"/>
              </w:rPr>
              <w:t>- проблема реализации собственной племенной продукции;</w:t>
            </w:r>
          </w:p>
          <w:p>
            <w:pPr>
              <w:pStyle w:val="Normal"/>
              <w:tabs>
                <w:tab w:val="clear" w:pos="708"/>
                <w:tab w:val="left" w:pos="14286" w:leader="none"/>
              </w:tabs>
              <w:spacing w:lineRule="auto" w:line="240" w:before="0" w:after="0"/>
              <w:rPr>
                <w:sz w:val="24"/>
                <w:szCs w:val="24"/>
              </w:rPr>
            </w:pPr>
            <w:r>
              <w:rPr>
                <w:rFonts w:cs="Times New Roman" w:ascii="Times New Roman" w:hAnsi="Times New Roman"/>
                <w:sz w:val="24"/>
                <w:szCs w:val="24"/>
              </w:rPr>
              <w:t>- зависимость от поставок зарубежного племенного материала;</w:t>
            </w:r>
          </w:p>
          <w:p>
            <w:pPr>
              <w:pStyle w:val="Normal"/>
              <w:tabs>
                <w:tab w:val="clear" w:pos="708"/>
                <w:tab w:val="left" w:pos="14286" w:leader="none"/>
              </w:tabs>
              <w:spacing w:lineRule="auto" w:line="240" w:before="0" w:after="0"/>
              <w:rPr>
                <w:sz w:val="24"/>
                <w:szCs w:val="24"/>
              </w:rPr>
            </w:pPr>
            <w:r>
              <w:rPr>
                <w:rFonts w:cs="Times New Roman" w:ascii="Times New Roman" w:hAnsi="Times New Roman"/>
                <w:sz w:val="24"/>
                <w:szCs w:val="24"/>
              </w:rPr>
              <w:t>- отток населения, трудности с закреплением молодых специалистов на селе вследствие невысоких зарплат и неудовлетворительных социально-бытовых условий.</w:t>
            </w:r>
          </w:p>
          <w:p>
            <w:pPr>
              <w:pStyle w:val="Normal"/>
              <w:spacing w:lineRule="auto" w:line="240" w:before="0" w:after="0"/>
              <w:jc w:val="both"/>
              <w:rPr>
                <w:sz w:val="24"/>
                <w:szCs w:val="24"/>
              </w:rPr>
            </w:pPr>
            <w:r>
              <w:rPr>
                <w:rFonts w:cs="Times New Roman" w:ascii="Times New Roman" w:hAnsi="Times New Roman"/>
                <w:sz w:val="24"/>
                <w:szCs w:val="24"/>
              </w:rPr>
              <w:t>Перспективы развития рынка:</w:t>
            </w:r>
          </w:p>
          <w:p>
            <w:pPr>
              <w:pStyle w:val="Normal"/>
              <w:spacing w:lineRule="auto" w:line="240" w:before="0" w:after="0"/>
              <w:rPr>
                <w:sz w:val="24"/>
                <w:szCs w:val="24"/>
              </w:rPr>
            </w:pPr>
            <w:r>
              <w:rPr>
                <w:rFonts w:eastAsia="Times New Roman" w:cs="Times New Roman" w:ascii="Times New Roman" w:hAnsi="Times New Roman"/>
                <w:sz w:val="24"/>
                <w:szCs w:val="24"/>
              </w:rPr>
              <w:t>- развитие племенной базы;</w:t>
            </w:r>
          </w:p>
          <w:p>
            <w:pPr>
              <w:pStyle w:val="Normal"/>
              <w:spacing w:lineRule="auto" w:line="240" w:before="0" w:after="0"/>
              <w:rPr>
                <w:sz w:val="24"/>
                <w:szCs w:val="24"/>
              </w:rPr>
            </w:pPr>
            <w:r>
              <w:rPr>
                <w:rFonts w:eastAsia="Times New Roman" w:cs="Times New Roman" w:ascii="Times New Roman" w:hAnsi="Times New Roman"/>
                <w:sz w:val="24"/>
                <w:szCs w:val="24"/>
              </w:rPr>
              <w:t>- увеличение прироста объемов реализации племенной продукции  за счет роста поголовья скота и птицы в области;</w:t>
            </w:r>
          </w:p>
          <w:p>
            <w:pPr>
              <w:pStyle w:val="Normal"/>
              <w:spacing w:lineRule="auto" w:line="240" w:before="0" w:after="0"/>
              <w:rPr>
                <w:sz w:val="24"/>
                <w:szCs w:val="24"/>
              </w:rPr>
            </w:pPr>
            <w:r>
              <w:rPr>
                <w:rFonts w:eastAsia="Times New Roman" w:cs="Times New Roman" w:ascii="Times New Roman" w:hAnsi="Times New Roman"/>
                <w:sz w:val="24"/>
                <w:szCs w:val="24"/>
              </w:rPr>
              <w:t>- повышение качества племенной продукции на фоне снижения себестоимости  и роста производительности труда после комплексной модернизации комплексов  и ферм с использованием современного технологического оборудования, улучшение кормовой базы.</w:t>
            </w:r>
          </w:p>
          <w:p>
            <w:pPr>
              <w:pStyle w:val="Normal"/>
              <w:spacing w:lineRule="auto" w:line="240" w:before="0" w:after="0"/>
              <w:rPr>
                <w:sz w:val="24"/>
                <w:szCs w:val="24"/>
              </w:rPr>
            </w:pPr>
            <w:r>
              <w:rPr>
                <w:rFonts w:eastAsia="Times New Roman" w:cs="Times New Roman" w:ascii="Times New Roman" w:hAnsi="Times New Roman"/>
                <w:sz w:val="24"/>
                <w:szCs w:val="24"/>
              </w:rPr>
              <w:t>-  расширение географии поставок и номенклатуры племенного материала, реализуемых за пределы региона и по импорту;</w:t>
            </w:r>
          </w:p>
          <w:p>
            <w:pPr>
              <w:pStyle w:val="Normal"/>
              <w:spacing w:lineRule="auto" w:line="240" w:before="0" w:after="0"/>
              <w:rPr>
                <w:sz w:val="24"/>
                <w:szCs w:val="24"/>
              </w:rPr>
            </w:pPr>
            <w:r>
              <w:rPr>
                <w:rFonts w:eastAsia="Times New Roman" w:cs="Times New Roman" w:ascii="Times New Roman" w:hAnsi="Times New Roman"/>
                <w:sz w:val="24"/>
                <w:szCs w:val="24"/>
              </w:rP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мероприятий, обеспечивающих увязку реализации мероприятий по срокам, ресурсам, исполнителям, а также организацию процесса управления и контроля.</w:t>
            </w:r>
          </w:p>
          <w:p>
            <w:pPr>
              <w:pStyle w:val="Normal"/>
              <w:spacing w:lineRule="auto" w:line="240" w:before="0" w:after="0"/>
              <w:jc w:val="both"/>
              <w:rPr>
                <w:sz w:val="24"/>
                <w:szCs w:val="24"/>
              </w:rPr>
            </w:pPr>
            <w:r>
              <w:rPr>
                <w:rFonts w:eastAsia="Times New Roman" w:cs="Times New Roman" w:ascii="Times New Roman" w:hAnsi="Times New Roman"/>
                <w:sz w:val="24"/>
                <w:szCs w:val="24"/>
              </w:rPr>
              <w:t>Реализация мероприятий позволит обеспечить необходимый уровень конкурентоспособности племенной продукции агропромышленного комплекса.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12.1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sz w:val="24"/>
                <w:szCs w:val="24"/>
              </w:rPr>
            </w:pPr>
            <w:r>
              <w:rPr>
                <w:rFonts w:cs="Times New Roman" w:ascii="Times New Roman" w:hAnsi="Times New Roman"/>
                <w:sz w:val="24"/>
                <w:szCs w:val="24"/>
              </w:rPr>
              <w:t>Предоставление субсидий на поддержку племенного животноводства</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sz w:val="24"/>
                <w:szCs w:val="24"/>
              </w:rPr>
            </w:pPr>
            <w:r>
              <w:rPr>
                <w:rFonts w:cs="Times New Roman" w:ascii="Times New Roman" w:hAnsi="Times New Roman"/>
                <w:sz w:val="24"/>
                <w:szCs w:val="24"/>
              </w:rPr>
              <w:t>Повышение уровня обеспеченности Воронежской области высокопродуктивным племенным скотом, а также снижение зависимости внутреннего рынка региона от иностранного селекционного и генетического материалов</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sz w:val="24"/>
                <w:szCs w:val="24"/>
              </w:rPr>
            </w:pPr>
            <w:r>
              <w:rPr>
                <w:rFonts w:cs="Times New Roman" w:ascii="Times New Roman" w:hAnsi="Times New Roman"/>
                <w:sz w:val="24"/>
                <w:szCs w:val="24"/>
              </w:rPr>
              <w:t>Доля организаций частной формы собственности на рынке племенного животноводства</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sz w:val="24"/>
                <w:szCs w:val="24"/>
              </w:rPr>
            </w:pPr>
            <w:r>
              <w:rPr>
                <w:rFonts w:cs="Times New Roman" w:ascii="Times New Roman" w:hAnsi="Times New Roman"/>
                <w:sz w:val="24"/>
                <w:szCs w:val="24"/>
                <w:lang w:eastAsia="en-US"/>
              </w:rPr>
              <w:t>100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lang w:eastAsia="en-US"/>
              </w:rPr>
              <w:t>100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lang w:eastAsia="en-US"/>
              </w:rPr>
              <w:t>100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12.2</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информационной поддержки участников рынка в социальных сетях Интернет.</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уровня обеспеченности Павловского муниципального района Воронежской области высокопродуктивным племенным скотом и птицей, а также снижение зависимости внутреннего рынка муниципального района от иностранного селекционного и генетического материалов.</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потребности сельскохозяйственных предприятий Павловского муниципального района высокопродуктивным племенным скотом и птицей, а также селекционным и генетическим материалом российского происхождения.</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80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81</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83</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семеноводства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на рынке семеноводства функционируют 5 организаций.</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Проблемы:</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низкая конкурентоспособность отечественных организаций, занимающихся производством семян;</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недостаточное обеспечение информационной поддержки участников рынка;</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недостаточное субсидирование, направленное на развитие семеноводства всех сельскохозяйственных культур.</w:t>
            </w:r>
          </w:p>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семеноводства: увеличение количества субъектов частного бизнеса, занимающихся семеноводством сельскохозяйственных культур.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низкая конкурентоспособность отечественных семян;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высокий процент оборота фальсифицированных семян;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низкая материально-интеллектуальная составляющая научных учреждений и длительный срок создания сорта/гибрида.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создание современных селекционных центров, лабораторий</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информационной поддержки участников рынка семеноводства</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Сохранение объема организаций частной формы собственности на рынке семеноводства</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на рынке семеноводства</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81,0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83,0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w:t>
            </w:r>
          </w:p>
          <w:p>
            <w:pPr>
              <w:pStyle w:val="Normal"/>
              <w:spacing w:lineRule="auto" w:line="240" w:before="0" w:after="0"/>
              <w:jc w:val="center"/>
              <w:rPr>
                <w:shd w:fill="FFFFFF" w:val="clear"/>
              </w:rPr>
            </w:pPr>
            <w:r>
              <w:rPr>
                <w:shd w:fill="FFFFFF" w:val="clear"/>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13.2</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субсидий на развитие семеноводства</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136"/>
              <w:jc w:val="both"/>
              <w:rPr>
                <w:rFonts w:ascii="Times New Roman" w:hAnsi="Times New Roman" w:cs="Times New Roman"/>
                <w:sz w:val="24"/>
                <w:szCs w:val="24"/>
              </w:rPr>
            </w:pPr>
            <w:r>
              <w:rPr>
                <w:rFonts w:cs="Times New Roman" w:ascii="Times New Roman" w:hAnsi="Times New Roman"/>
                <w:sz w:val="24"/>
                <w:szCs w:val="24"/>
              </w:rPr>
              <w:t>Увеличение числа организаций на рынке семеноводства</w:t>
            </w:r>
          </w:p>
        </w:tc>
        <w:tc>
          <w:tcPr>
            <w:tcW w:w="20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24"/>
                <w:szCs w:val="24"/>
              </w:rPr>
              <w:t>Количество субъектов частного бизнеса, занимающихся семеноводством сельскохозяйственных культур</w:t>
            </w:r>
          </w:p>
        </w:tc>
        <w:tc>
          <w:tcPr>
            <w:tcW w:w="9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57" w:right="57"/>
              <w:jc w:val="center"/>
              <w:rPr>
                <w:rFonts w:ascii="Times New Roman" w:hAnsi="Times New Roman" w:cs="Times New Roman"/>
                <w:sz w:val="24"/>
                <w:szCs w:val="24"/>
                <w:lang w:eastAsia="en-US"/>
              </w:rPr>
            </w:pPr>
            <w:r>
              <w:rPr>
                <w:rFonts w:cs="Times New Roman" w:ascii="Times New Roman" w:hAnsi="Times New Roman"/>
                <w:sz w:val="24"/>
                <w:szCs w:val="24"/>
              </w:rPr>
              <w:t>Единицы</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84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85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5</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5</w:t>
            </w:r>
          </w:p>
        </w:tc>
        <w:tc>
          <w:tcPr>
            <w:tcW w:w="17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Департамент аграрной политики Воронежской области (по согласованию); МКУ ПМР «Управление сельского хозяйства»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13.3</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участия сельскохозяйственных производителей семеноводческой продукции в тематических выставках</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Расширение доступа сельхозтоваропроизводителей семеноводческой продукции к локальным рынкам</w:t>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7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товарной аквакультуры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w:t>
            </w:r>
            <w:r>
              <w:rPr>
                <w:rFonts w:cs="Times New Roman" w:ascii="Times New Roman" w:hAnsi="Times New Roman"/>
                <w:sz w:val="24"/>
                <w:szCs w:val="24"/>
              </w:rPr>
              <w:t>ответственный исполнитель – МКУ ПМР «Управление сельского хозяйства»)</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428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на рынке товарной аквакультуры функционируют 2 организации частной формы собственности.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Проблема: недостаточное развитие рынка товарной аквакультуры.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Цель развития конкуренции на рынке товарной аквакультуры: удовлетворение потребности населения Воронежской области в товарной аквакультуре, произведенной на территории Воронежской области за счет увеличения объема реализованной рыбы организациями частной формы собственности.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для осуществления деятельности на рынке товарной аквакультуры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значительные первоначальные капиталовложения при длительном сроке окупаемости вложений;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ограниченный доступ к рынкам сбыта;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отсутствие квалифицированного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развитие аквакультуры;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увеличение прироста объемов реализации продукции за счет роста поголовья;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повышение качества продукции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субсидий на поддержку рыбоводства на недискриминационной основе</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Увеличение объемов производства и реализации товарной рыбы  и рыбопосадочного материала</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24"/>
                <w:szCs w:val="24"/>
              </w:rPr>
              <w:t>Прирост объемов реализованной рыбы по отношению к 2021 году.</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90,0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92,0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98,0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lang w:eastAsia="en-US"/>
              </w:rPr>
              <w:t>100,0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Департамент аграрной политики Воронежской области (по согласованию)</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Рынок обработки древесины и производства изделий из дерева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2020 году на рынке обработки древесины и производства изделий из дерева осуществляла деятельность 1  организация частной формы собственности Проблема: недостаточная конкурентоспособность на рынке обработки древесины и производства изделий из дерева.</w:t>
            </w:r>
          </w:p>
          <w:p>
            <w:pPr>
              <w:pStyle w:val="Normal"/>
              <w:spacing w:lineRule="auto" w:line="240" w:before="0" w:after="0"/>
              <w:rPr>
                <w:rFonts w:ascii="Times New Roman" w:hAnsi="Times New Roman" w:eastAsia="Calibri" w:cs="Times New Roman"/>
                <w:sz w:val="24"/>
                <w:szCs w:val="24"/>
                <w:lang w:eastAsia="en-US"/>
              </w:rPr>
            </w:pPr>
            <w:r>
              <w:rPr>
                <w:rFonts w:cs="Times New Roman" w:ascii="Times New Roman" w:hAnsi="Times New Roman"/>
                <w:sz w:val="24"/>
                <w:szCs w:val="24"/>
              </w:rPr>
              <w:t xml:space="preserve">Цель развития конкуренции на рынке обработки древесины и производства изделий из дерева: </w:t>
            </w:r>
            <w:r>
              <w:rPr>
                <w:rFonts w:eastAsia="Calibri" w:cs="Times New Roman" w:ascii="Times New Roman" w:hAnsi="Times New Roman"/>
                <w:sz w:val="24"/>
                <w:szCs w:val="24"/>
                <w:lang w:eastAsia="en-US"/>
              </w:rPr>
              <w:t>сохранение высокой доли участия частных предприятий на рынке с последующим увеличением числа участников рынка.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процедура отвода земельных участков и сдачи в аренду служебных помещений;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недостаточный уровень информированности о доступных мерах государственной и муниципальной поддержки;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инфраструктурные ограничения (подключение к инженерной инфраструктуре).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отсутствие возможности получения «дешевых» кредитов на развитие производства;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стоимость высокотехнологичного оборудования, минимизирующего отходы при обработке древесины и производстве изделий из дерева.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сохранение высокой доли участия частных предприятий на рынке с последующим увеличением числа участников рынка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both"/>
              <w:rPr>
                <w:rFonts w:ascii="Times New Roman" w:hAnsi="Times New Roman" w:cs="Times New Roman"/>
                <w:b/>
                <w:sz w:val="24"/>
                <w:szCs w:val="24"/>
              </w:rPr>
            </w:pPr>
            <w:r>
              <w:rPr>
                <w:rFonts w:cs="Times New Roman" w:ascii="Times New Roman" w:hAnsi="Times New Roman"/>
                <w:sz w:val="24"/>
                <w:szCs w:val="24"/>
              </w:rPr>
              <w:t>Проведение мониторинга состояния конкурентной среды на рынке «Обработка древесины и производство изделий из дерева» на территории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center"/>
              <w:rPr>
                <w:rFonts w:ascii="Times New Roman" w:hAnsi="Times New Roman" w:cs="Times New Roman"/>
                <w:b/>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both"/>
              <w:rPr>
                <w:rFonts w:ascii="Times New Roman" w:hAnsi="Times New Roman" w:cs="Times New Roman"/>
                <w:sz w:val="24"/>
                <w:szCs w:val="24"/>
              </w:rPr>
            </w:pPr>
            <w:r>
              <w:rPr>
                <w:rFonts w:cs="Times New Roman" w:ascii="Times New Roman" w:hAnsi="Times New Roman"/>
                <w:sz w:val="24"/>
                <w:szCs w:val="24"/>
              </w:rPr>
              <w:t>Создание условий для привлечения негосударственных организаций в указанную сферу, расширение рынка сбыта</w:t>
            </w:r>
          </w:p>
        </w:tc>
        <w:tc>
          <w:tcPr>
            <w:tcW w:w="20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обработки древесины и производства изделий из дерева</w:t>
            </w:r>
          </w:p>
        </w:tc>
        <w:tc>
          <w:tcPr>
            <w:tcW w:w="9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5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15.2</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both"/>
              <w:rPr>
                <w:rFonts w:ascii="Times New Roman" w:hAnsi="Times New Roman" w:cs="Times New Roman"/>
                <w:sz w:val="24"/>
                <w:szCs w:val="24"/>
              </w:rPr>
            </w:pPr>
            <w:r>
              <w:rPr>
                <w:rFonts w:cs="Times New Roman" w:ascii="Times New Roman" w:hAnsi="Times New Roman"/>
                <w:sz w:val="24"/>
                <w:szCs w:val="24"/>
              </w:rPr>
              <w:t>Информирование предприятий, осуществляющих обработку древесины и производство издел</w:t>
            </w:r>
          </w:p>
          <w:p>
            <w:pPr>
              <w:pStyle w:val="ConsPlusNormal1"/>
              <w:jc w:val="both"/>
              <w:rPr>
                <w:rFonts w:ascii="Times New Roman" w:hAnsi="Times New Roman" w:cs="Times New Roman"/>
                <w:sz w:val="24"/>
                <w:szCs w:val="24"/>
              </w:rPr>
            </w:pPr>
            <w:r>
              <w:rPr>
                <w:rFonts w:cs="Times New Roman" w:ascii="Times New Roman" w:hAnsi="Times New Roman"/>
                <w:sz w:val="24"/>
                <w:szCs w:val="24"/>
              </w:rPr>
              <w:t>ий из дерева о выставочно-ярмарочных и конгрессных мероприятиях, проводимых под эгидой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sz w:val="24"/>
                <w:szCs w:val="24"/>
                <w:lang w:eastAsia="en-US"/>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jc w:val="both"/>
              <w:rPr>
                <w:rFonts w:ascii="Times New Roman" w:hAnsi="Times New Roman" w:cs="Times New Roman"/>
                <w:sz w:val="24"/>
                <w:szCs w:val="24"/>
              </w:rPr>
            </w:pPr>
            <w:r>
              <w:rPr>
                <w:rFonts w:cs="Times New Roman" w:ascii="Times New Roman" w:hAnsi="Times New Roman"/>
                <w:sz w:val="24"/>
                <w:szCs w:val="24"/>
              </w:rPr>
              <w:t>Обеспечение доступа потребителей к информации</w:t>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Сфера наружной рекламы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 Отдел по архитектуры и градостроительству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настоящее время в сфере наружной рекламы осуществляют деятельность 7 организаций частной формы собственности.</w:t>
            </w:r>
          </w:p>
          <w:p>
            <w:pPr>
              <w:pStyle w:val="Normal"/>
              <w:spacing w:lineRule="auto" w:line="240" w:before="0" w:after="0"/>
              <w:jc w:val="both"/>
              <w:rPr>
                <w:rFonts w:ascii="Times New Roman" w:hAnsi="Times New Roman" w:eastAsia="Calibri" w:cs="Times New Roman"/>
                <w:sz w:val="24"/>
                <w:szCs w:val="24"/>
                <w:lang w:eastAsia="en-US"/>
              </w:rPr>
            </w:pPr>
            <w:r>
              <w:rPr>
                <w:rFonts w:cs="Times New Roman" w:ascii="Times New Roman" w:hAnsi="Times New Roman"/>
                <w:sz w:val="24"/>
                <w:szCs w:val="24"/>
              </w:rPr>
              <w:t>Проблема:</w:t>
            </w:r>
            <w:r>
              <w:rPr>
                <w:rFonts w:eastAsia="Calibri" w:cs="Times New Roman" w:ascii="Times New Roman" w:hAnsi="Times New Roman"/>
                <w:sz w:val="24"/>
                <w:szCs w:val="24"/>
                <w:lang w:eastAsia="en-US"/>
              </w:rPr>
              <w:t xml:space="preserve"> отсутствие единой концепции развития городского пространства.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Цели развития конкуренции в сфере наружной рекламы:</w:t>
            </w:r>
          </w:p>
          <w:p>
            <w:pPr>
              <w:pStyle w:val="Normal"/>
              <w:spacing w:lineRule="auto" w:line="240" w:before="0" w:after="0"/>
              <w:jc w:val="both"/>
              <w:rPr>
                <w:rFonts w:ascii="Times New Roman" w:hAnsi="Times New Roman" w:eastAsia="Calibri" w:cs="Times New Roman"/>
                <w:sz w:val="24"/>
                <w:szCs w:val="24"/>
                <w:lang w:eastAsia="en-US"/>
              </w:rPr>
            </w:pP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недопущение предоставления услуг в сфере наружной рекламы на территории Воронежской области предприятиями с государственным участием;</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повышение качества предоставляемых услуг в сфере наружной рекламы.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Административные барьеры входа на рынок: отсутствие на законодательном уровне механизмов государственной поддержки субъектов малого предпринимательства в сфере оказания услуг наружной рекламы.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Экономические барьеры входа на рынок: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высокая стоимость обслужива</w:t>
            </w:r>
            <w:bookmarkStart w:id="0" w:name="_GoBack"/>
            <w:bookmarkEnd w:id="0"/>
            <w:r>
              <w:rPr>
                <w:rFonts w:cs="Times New Roman" w:ascii="Times New Roman" w:hAnsi="Times New Roman"/>
                <w:sz w:val="24"/>
                <w:szCs w:val="24"/>
              </w:rPr>
              <w:t>ния рекламных конструкций, в части устранения последствий противоправных действий третьих лиц (повреждение рекламных конструкций и размещаемой информации в результате хулиганских действий, актов вандализма, наезда транспортных средств и т.д.), утрата  актуальности ряда рекламных конструкций  в связи с развитием сегмента цифровых форматов, что сказывается на стоимости как самих конструкций, так и их обслуживания.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Перспективы развития рынка: упорядочивание рынка в сфере наружной рекламы, внедрение современных методик развития наружной рекламы</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Устранение рынка незаконных рекламных конструкций, обновление рынка наружной рекламы, переход на современные форматы</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Доля организаций частной формы собственности в сфере наружной рекламы</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архитектуры и градостроительству администрации Павловского муниципального района Воронежской области</w:t>
            </w:r>
          </w:p>
        </w:tc>
      </w:tr>
      <w:tr>
        <w:trPr/>
        <w:tc>
          <w:tcPr>
            <w:tcW w:w="15959"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8753" w:leader="none"/>
              </w:tabs>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ΙΙ. Системные мероприятия по развитию конкурентной среды в Павловском муниципальном районе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Развитие конкурентоспособности товаров, работ, услуг субъектов малого и среднего предпринимательства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ярмарок на территории Павловского муниципального района Воронежской области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Актуализация постановления администрации Павловского муниципального района Воронежской области от 07.06.2017 № 420 «Об утверждении Плана размещения ярмарочных площадок на территории Павловского муниципального района» Создание для местных производителей торговых мест на ярмарках муниципального района.</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Количество субъектов МСП, принявших участие в выставочно-ярмарочных мероприятиях</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Единицы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70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72</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74</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76</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77</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устранение случаев (снижение количества) осуществления закупки у единственного поставщика;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Оказание информационно-консультационной поддержки бизнес-сообществу по вопросам участия в государственных закупках Воронежской области (организация совещаний, семинаров, конференций)</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rPr>
              <w:t>Повышение информированности, квалификации участников закупок о требованиях и правилах участия в закупочных процедурах</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Количество проведенных информационно-консультационных мероприятий для участников закупочного процесса региона</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Единицы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Не менее 6 раз в год</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Не менее 6 раз в год</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Не менее 6 раз в год</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Не менее 6 раз в год</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Не менее 6 раз в год</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МКУ ПМР «Межведомственный многофункциональный центр»</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Устранение избыточного государственного и муниципального регулирования, а также снижение административных барьеров: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 «О защите конкурен-ции»;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оптимизация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наличие в порядках проведения оценки регулирующего воздействия проектов нормативных правовых актов субъекта РФ и муниципальных образований и экспертизы нормативных правовых актов субъекта РФ и муниципальных образований, устанавливаемых в соответствии с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trPr>
          <w:trHeight w:val="2312"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4.1</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предоставления в режиме «одного окна» государственных и муниципальных услуг, оказываемых на территории Павловского муниципального района Воронежской области, в многофункциональных центрах предоставления государственных и муниципальных услуг.</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Оптимизация процесса оказания государственных и муниципальных услуг. Увеличение количества государственных, и муниципальных и дополнительных (сопутствующих) услуг, оказываемых в режиме «Одного окна».</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Количество видов дополнительных (сопутствующих) услуг, предоставляемых субъектам предпринимательской деятельности на базе многофункционального центра предоставления государственных и муниципальных услуг.</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Единиц</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34</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24</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24</w:t>
            </w:r>
          </w:p>
          <w:p>
            <w:pPr>
              <w:pStyle w:val="Normal"/>
              <w:spacing w:lineRule="auto" w:line="240" w:before="0" w:after="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АУ «МФЦ» (по согласованию).</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процедуры оценки регулирующего воздействия проектов нормативных правовых актов администрации Павловского муниципального района Воронежской области в части, касающейся анализа воздействия положений проектов нормативных правовых актов на состояние конкуренции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Устранение избыточного государственного регулирования, снижение административных барьеров для ведения предпринимательской деятельности</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нормативных правовых актов в сфере установления правил и порядка предоставления поддержки субъектам предпринимательской и инвестиционной деятельности, оценка регулирующего воздействия которых проведена</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100</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100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shd w:fill="FFFFFF" w:val="clear"/>
              </w:rPr>
            </w:pPr>
            <w:r>
              <w:rPr>
                <w:rFonts w:cs="Times New Roman" w:ascii="Times New Roman" w:hAnsi="Times New Roman"/>
                <w:sz w:val="24"/>
                <w:szCs w:val="24"/>
                <w:shd w:fill="FFFFFF" w:val="clear"/>
              </w:rPr>
              <w:t>100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100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4.3</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предоставления муниципальной услуги  по выдаче разрешения на строительство в электронной форме</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Оптимизация процесса предоставления  муниципальной услуги по выдаче разрешения на строительство за счет обеспечения предоставления муниципальной услуги в электронной форме. Увеличение доли муниципальных услуг по выдаче разрешения на строительство, предоставленных в электронной форме, в общем объеме предоставленных услуг</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Доля предоставленных услуг в электронной форме в общем количестве предоставленных услуг, в соответствии с распоряжением Правительства Российской Федерации от 31.01.2017              № 147-р</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91,4</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92,0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93,0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79,0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80,0</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архитектуре и градостроительству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5</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ограничение влияния государственных и муниципальных предприятий на конкуренцию</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Создание условий, в соответствии с которыми хозяйствующие субъекты, доля участия субъекта Российской Федерации или муниципального образования в которых составляет 50 и более процентов,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before="0" w:after="20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хозяйствующим субъектам равного доступа к процедурам реализации государственного и муниципального имущества</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Осуществление мониторинга деятельности государственных и муниципальных предприятий Воронежской области</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Исполнено/Неисполнено</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Исполнено</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cs="Times New Roman" w:ascii="Times New Roman" w:hAnsi="Times New Roman"/>
                <w:sz w:val="24"/>
                <w:szCs w:val="24"/>
              </w:rPr>
              <w:t>Исполнено</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cs="Times New Roman" w:ascii="Times New Roman" w:hAnsi="Times New Roman"/>
                <w:sz w:val="24"/>
                <w:szCs w:val="24"/>
              </w:rPr>
              <w:t>Исполнено</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cs="Times New Roman" w:ascii="Times New Roman" w:hAnsi="Times New Roman"/>
                <w:sz w:val="24"/>
                <w:szCs w:val="24"/>
              </w:rPr>
              <w:t>Исполнено</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cs="Times New Roman" w:ascii="Times New Roman" w:hAnsi="Times New Roman"/>
                <w:sz w:val="24"/>
                <w:szCs w:val="24"/>
              </w:rPr>
              <w:t>Исполнено</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Создание условий для недискриминационного доступа хозяйствующих субъектов на товарные рынки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Выявление административных барьеров входа хозяйствующих субъектов на товарные рынки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Сокращение административных барьеров входа хозяйствующих субъектов на товарные рынки Воронежской области</w:t>
            </w:r>
          </w:p>
        </w:tc>
        <w:tc>
          <w:tcPr>
            <w:tcW w:w="20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Наличие административных барьеров, выявленных при мониторинге  входа хозяйствующих субъектов на товарные рынки Павловского муниципального района Воронежской области</w:t>
            </w:r>
          </w:p>
        </w:tc>
        <w:tc>
          <w:tcPr>
            <w:tcW w:w="9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4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5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Нет</w:t>
            </w:r>
          </w:p>
        </w:tc>
        <w:tc>
          <w:tcPr>
            <w:tcW w:w="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Нет</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Выработка мер государственного регулирования по минимизации выявленных административных барьеров входа хозяйствующих субъектов на товарные рынки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Содействие развитию практики применения механизмов государственно-частного и муниципально-частного партнерства, в том числе</w:t>
            </w:r>
          </w:p>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практики заключения концессионных соглашений, в социальной сфере (детский отдых и оздоровление, спорт, здравоохранение, социальное</w:t>
            </w:r>
          </w:p>
          <w:p>
            <w:pPr>
              <w:pStyle w:val="Normal"/>
              <w:tabs>
                <w:tab w:val="clear" w:pos="708"/>
                <w:tab w:val="left" w:pos="4368" w:leader="none"/>
              </w:tabs>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rPr>
              <w:t>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Реализация проектов передачи государственных (муниципальных) объектов недвижимого имущества негосударственным (немуниципальным) организациям с применением механизмов государственно-частного партнерства (муниципально-частного партнерства)</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практики государственно-частного партнерства, муниципально-частного партнерства в Воронежской области</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соглашения</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eastAsia="Times New Roman" w:cs="Times New Roman" w:ascii="Times New Roman" w:hAnsi="Times New Roman"/>
                <w:sz w:val="24"/>
                <w:szCs w:val="24"/>
                <w:shd w:fill="FFFFFF" w:val="clear"/>
              </w:rPr>
              <w:t>1</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eastAsia="Times New Roman" w:cs="Times New Roman" w:ascii="Times New Roman" w:hAnsi="Times New Roman"/>
                <w:sz w:val="24"/>
                <w:szCs w:val="24"/>
                <w:shd w:fill="FFFFFF" w:val="clear"/>
              </w:rPr>
              <w:t>1</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rFonts w:cs="Times New Roman" w:ascii="Times New Roman" w:hAnsi="Times New Roman"/>
                <w:sz w:val="24"/>
                <w:szCs w:val="24"/>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8</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368"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Оказание поддержки социальным предприятиям и организациям, осуществляющим социально значимые виды деятельности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Содействие развитию деятельности малых и средних предприятий, создание новых рабочих мест</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color w:val="000000"/>
              </w:rPr>
            </w:pPr>
            <w:r>
              <w:rPr>
                <w:rFonts w:eastAsia="Times New Roman" w:cs="Times New Roman" w:ascii="Times New Roman" w:hAnsi="Times New Roman"/>
                <w:color w:val="000000"/>
                <w:sz w:val="24"/>
                <w:szCs w:val="24"/>
              </w:rPr>
              <w:t>Количество социально-ориентированных некоммерческих организаций, получивших финансовую поддержку в виде гранта</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firstLine="39" w:left="57" w:right="57"/>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Единиц</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shd w:fill="FFFFFF" w:val="clear"/>
              </w:rPr>
            </w:pPr>
            <w:r>
              <w:rPr>
                <w:rFonts w:eastAsia="Times New Roman" w:cs="Times New Roman" w:ascii="Times New Roman" w:hAnsi="Times New Roman"/>
                <w:sz w:val="24"/>
                <w:szCs w:val="24"/>
                <w:shd w:fill="FFFFFF" w:val="clear"/>
              </w:rPr>
              <w:t>2</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shd w:fill="FFFFFF" w:val="clear"/>
              </w:rPr>
            </w:pPr>
            <w:r>
              <w:rPr>
                <w:rFonts w:eastAsia="Times New Roman" w:cs="Times New Roman" w:ascii="Times New Roman" w:hAnsi="Times New Roman"/>
                <w:sz w:val="24"/>
                <w:szCs w:val="24"/>
                <w:shd w:fill="FFFFFF" w:val="clear"/>
              </w:rPr>
              <w:t>2</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rFonts w:cs="Times New Roman" w:ascii="Times New Roman" w:hAnsi="Times New Roman"/>
                <w:sz w:val="24"/>
                <w:szCs w:val="24"/>
              </w:rPr>
              <w:t>Воронежской области</w:t>
            </w:r>
            <w:r>
              <w:rPr>
                <w:rFonts w:eastAsia="Times New Roman" w:cs="Times New Roman" w:ascii="Times New Roman" w:hAnsi="Times New Roman"/>
                <w:sz w:val="24"/>
                <w:szCs w:val="24"/>
              </w:rPr>
              <w:t>, заместитель главы администрации Павловского муниципального района Воронежской области Якушева Л.В.</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ускоренному развитию субъектов малого и среднего предпринимательства и достижения показателей ее эффективности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9.1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Оказание консультационных </w:t>
            </w:r>
            <w:r>
              <w:rPr>
                <w:rFonts w:ascii="Times New Roman" w:hAnsi="Times New Roman"/>
                <w:sz w:val="24"/>
                <w:szCs w:val="24"/>
              </w:rPr>
              <w:t xml:space="preserve">услуг </w:t>
            </w:r>
            <w:r>
              <w:rPr>
                <w:rFonts w:eastAsia="Times New Roman" w:cs="Times New Roman" w:ascii="Times New Roman" w:hAnsi="Times New Roman"/>
                <w:sz w:val="24"/>
                <w:szCs w:val="24"/>
              </w:rPr>
              <w:t>субъектам малого и среднего предпринимательства</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Стимулирование новых предпринимательских инициатив, повышение информированности потенциальных предпринимателей о возможностях и способах ведения предпринимательской деятельности.</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000000"/>
              </w:rPr>
            </w:pPr>
            <w:r>
              <w:rPr>
                <w:rFonts w:eastAsia="Times New Roman" w:cs="Times New Roman" w:ascii="Times New Roman" w:hAnsi="Times New Roman"/>
                <w:color w:val="000000"/>
                <w:sz w:val="24"/>
                <w:szCs w:val="24"/>
              </w:rPr>
              <w:t>Численность субъектов МСП, включая индивидуальных предпринимателей</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center"/>
              <w:rPr>
                <w:rFonts w:ascii="Times New Roman" w:hAnsi="Times New Roman" w:cs="Times New Roman"/>
                <w:sz w:val="24"/>
                <w:szCs w:val="24"/>
              </w:rPr>
            </w:pPr>
            <w:r>
              <w:rPr>
                <w:rFonts w:eastAsia="Times New Roman" w:cs="Times New Roman" w:ascii="Times New Roman" w:hAnsi="Times New Roman"/>
                <w:sz w:val="24"/>
                <w:szCs w:val="24"/>
              </w:rPr>
              <w:t>человек</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
              <w:jc w:val="both"/>
              <w:rPr>
                <w:rFonts w:ascii="Times New Roman" w:hAnsi="Times New Roman" w:cs="Times New Roman"/>
                <w:sz w:val="24"/>
                <w:szCs w:val="24"/>
              </w:rPr>
            </w:pPr>
            <w:r>
              <w:rPr>
                <w:rFonts w:cs="Times New Roman" w:ascii="Times New Roman" w:hAnsi="Times New Roman"/>
                <w:sz w:val="24"/>
                <w:szCs w:val="24"/>
              </w:rPr>
              <w:t>1269</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1300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1320</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1372</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1373</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rFonts w:cs="Times New Roman" w:ascii="Times New Roman" w:hAnsi="Times New Roman"/>
                <w:sz w:val="24"/>
                <w:szCs w:val="24"/>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сферах экономической деятельности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10.1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Реализация дополнительных общеобразовательных программ для одаренных детей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Обеспечение доступных для каждого и качественных условий для воспитания гармонично развитой и социально-ответственной личности путем увеличения охвата дополнительным образованием</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Доля детей в возрасте от 5 до 18 лет, охваченных дополнительным образованием,  от общего количества детей</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sz w:val="24"/>
                <w:szCs w:val="24"/>
              </w:rPr>
            </w:pPr>
            <w:r>
              <w:rPr>
                <w:rFonts w:ascii="Times New Roman" w:hAnsi="Times New Roman"/>
                <w:sz w:val="24"/>
                <w:szCs w:val="24"/>
              </w:rPr>
              <w:t>Проценты</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sz w:val="24"/>
                <w:szCs w:val="24"/>
              </w:rPr>
            </w:pPr>
            <w:r>
              <w:rPr>
                <w:rFonts w:ascii="Times New Roman" w:hAnsi="Times New Roman"/>
                <w:sz w:val="24"/>
                <w:szCs w:val="24"/>
              </w:rPr>
              <w:t>76,7</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sz w:val="24"/>
                <w:szCs w:val="24"/>
              </w:rPr>
            </w:pPr>
            <w:r>
              <w:rPr>
                <w:rFonts w:ascii="Times New Roman" w:hAnsi="Times New Roman"/>
                <w:sz w:val="24"/>
                <w:szCs w:val="24"/>
              </w:rPr>
              <w:t>77,0</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sz w:val="24"/>
                <w:szCs w:val="24"/>
              </w:rPr>
            </w:pPr>
            <w:r>
              <w:rPr>
                <w:rFonts w:ascii="Times New Roman" w:hAnsi="Times New Roman"/>
                <w:sz w:val="24"/>
                <w:szCs w:val="24"/>
              </w:rPr>
              <w:t>77,3</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shd w:fill="FFFFFF" w:val="clear"/>
              </w:rPr>
            </w:pPr>
            <w:r>
              <w:rPr>
                <w:rFonts w:ascii="Times New Roman" w:hAnsi="Times New Roman"/>
                <w:sz w:val="24"/>
                <w:szCs w:val="24"/>
                <w:shd w:fill="FFFFFF" w:val="clear"/>
              </w:rPr>
              <w:t>87,7</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87,8</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ascii="Times New Roman" w:hAnsi="Times New Roman"/>
                <w:sz w:val="24"/>
                <w:szCs w:val="24"/>
                <w:shd w:fill="FFFFFF" w:val="clear"/>
              </w:rPr>
              <w:t xml:space="preserve">Муниципальный отдел по образованию, молодежной политике и спорту администрации Павловского муниципального района </w:t>
            </w:r>
            <w:r>
              <w:rPr>
                <w:rFonts w:cs="Times New Roman" w:ascii="Times New Roman" w:hAnsi="Times New Roman"/>
                <w:sz w:val="24"/>
                <w:szCs w:val="24"/>
                <w:shd w:fill="FFFFFF" w:val="clear"/>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равных условий доступа к информации о муниципальном имуществе Павловского муниципального района Воронежской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Павловского муниципального района  Воронежской области, путем размещения указанной информации в сети Интернет для размещения информации о проведении торгов (www.torgi.gov.ru) и на официальном сайте уполномоченного органа в сети Интернет</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11.1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Размещение информации о перечнях муниципального имущества Павловского муниципального района Воронежской области, предназначенного для предоставления в аренду субъектам малого и среднего предпринимательства</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2022-2025</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прозрачности и доступности информации об имуществе, включаемом в перечни для предоставления на льготных условиях субъектам малого и среднего предпринимательства</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Размещение информации о перечнях государственного имущества Воронежской области и муниципального имущества, предназначенного для предоставления в аренду субъектам малого и среднего предпринимательства</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Да</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Да</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Да</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bidi w:val="0"/>
              <w:spacing w:lineRule="auto" w:line="276" w:before="0" w:after="200"/>
              <w:jc w:val="left"/>
              <w:rPr/>
            </w:pPr>
            <w:r>
              <w:rPr>
                <w:rFonts w:eastAsia="Times New Roman" w:cs="Times New Roman" w:ascii="Times New Roman" w:hAnsi="Times New Roman"/>
                <w:sz w:val="24"/>
                <w:szCs w:val="24"/>
              </w:rPr>
              <w:t>Да</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Муниципальный отдел по управлению муниципальным имуществом администрации Павловского муниципального района </w:t>
            </w:r>
            <w:r>
              <w:rPr>
                <w:rFonts w:cs="Times New Roman" w:ascii="Times New Roman" w:hAnsi="Times New Roman"/>
                <w:sz w:val="24"/>
                <w:szCs w:val="24"/>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обучения по модели дуального образования при взаимодействии с профессиональными образовательными организациями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и реализация механизмов практико-ориентированного (дуального) образования</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Число обучающихся по программе практико-ориентированного (дуального) образования</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lang w:eastAsia="en-US"/>
              </w:rPr>
              <w:t>Человек</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185</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185</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39" w:left="57" w:right="57"/>
              <w:jc w:val="center"/>
              <w:rPr>
                <w:rFonts w:ascii="Times New Roman" w:hAnsi="Times New Roman" w:cs="Times New Roman"/>
                <w:sz w:val="24"/>
                <w:szCs w:val="24"/>
              </w:rPr>
            </w:pPr>
            <w:r>
              <w:rPr>
                <w:rFonts w:cs="Times New Roman" w:ascii="Times New Roman" w:hAnsi="Times New Roman"/>
                <w:sz w:val="24"/>
                <w:szCs w:val="24"/>
              </w:rPr>
              <w:t>185</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480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485</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Муниципальный отдел по образованию, молодежной политике и спорту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13.1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color w:val="auto"/>
              </w:rPr>
            </w:pPr>
            <w:r>
              <w:rPr>
                <w:color w:val="auto"/>
              </w:rPr>
              <w:t>Проведение опросов, анкетирования (в том числе посредством информационно-телекоммуникационной сети «Интернет») среди различных возрастных категорий населения на предмет установления уровня удовлетворенности деятельностью финансовых организаций, осуществляющих свою деятельность на территории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color w:val="auto"/>
              </w:rPr>
            </w:pPr>
            <w:r>
              <w:rPr>
                <w:color w:val="auto"/>
              </w:rPr>
              <w:t>Определение уровня удовлетворенности населения работой финансовых организаций, осуществляющих свою деятельность на территории Воронежской области, с целью  совершенствования повышения качества оказываемых финансовых услуг</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Количество опрошенных человек</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Чело век</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63</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64</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65</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shd w:fill="FFFFFF" w:val="clear"/>
              </w:rPr>
            </w:pPr>
            <w:r>
              <w:rPr>
                <w:shd w:fill="FFFFFF" w:val="clear"/>
              </w:rPr>
              <w:t>80</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pPr>
            <w:r>
              <w:rPr>
                <w:shd w:fill="FFFFFF" w:val="clear"/>
              </w:rPr>
              <w:t>85</w:t>
            </w:r>
          </w:p>
          <w:p>
            <w:pPr>
              <w:pStyle w:val="Default"/>
              <w:jc w:val="center"/>
              <w:rPr>
                <w:color w:val="auto"/>
                <w:shd w:fill="FFFFFF" w:val="clear"/>
              </w:rPr>
            </w:pPr>
            <w:r>
              <w:rPr>
                <w:color w:val="000000"/>
                <w:shd w:fill="FFFFFF" w:val="clear"/>
              </w:rPr>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t>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Размещение                        актуализированного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на официальном сайте администрации Павловского муниципального района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Унифицирование порядка, условия и результатов предоставления муниципальных услуг, поддержание  в актуальном состоянии типовых административных регламентов по выдаче разрешения на строительство и ввод объекта в эксплуатацию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 типового административного регламента по предоставлению услуг по выдаче разрешения на строительство и ввод в эксплуатацию объектов капитального строительства</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sz w:val="24"/>
                <w:szCs w:val="24"/>
              </w:rPr>
              <w:t>Да</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sz w:val="24"/>
                <w:szCs w:val="24"/>
              </w:rPr>
              <w:t>Да</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sz w:val="24"/>
                <w:szCs w:val="24"/>
              </w:rPr>
              <w:t>Да</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по архитектуре и градостроительству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открытости и доступности для потребителей товаров, работ и услуг и других участников экономической деятельности информации о реализации государственной политики по развитию конкуренции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15.1</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Размещение на официальном сайте администрации Павловского муниципального района, в сети «Интернет» информации о результатах реализации государственной политики по развитию конкуренции, в том числе положений Плана по содействию развитию конкуренции в Павловском муниципальном районе Воронежской области</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2022-2025</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Повышение уровня информированности потребителей товаров, работ и услуг и других участников экономической деятельности информации о реализации государственной политики по развитию конкуренции</w:t>
            </w:r>
          </w:p>
        </w:tc>
        <w:tc>
          <w:tcPr>
            <w:tcW w:w="2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Создан и  поддерживается в актуальном состоянии электронный информационный ресурс в сети «Интернет»</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1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5209"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 (в том числе в социальной сфере), унификация процедур распоряжения государственной и муниципальной собственностью на основе аукционов,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проводимых в электронной форме</w:t>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16.1</w:t>
            </w:r>
          </w:p>
        </w:tc>
        <w:tc>
          <w:tcPr>
            <w:tcW w:w="2247" w:type="dxa"/>
            <w:tcBorders>
              <w:left w:val="single" w:sz="4" w:space="0" w:color="000000"/>
              <w:bottom w:val="single" w:sz="4" w:space="0" w:color="000000"/>
            </w:tcBorders>
            <w:shd w:color="auto" w:fill="auto" w:val="clear"/>
          </w:tcPr>
          <w:p>
            <w:pPr>
              <w:pStyle w:val="Default"/>
              <w:jc w:val="both"/>
              <w:rPr>
                <w:color w:val="auto"/>
                <w:sz w:val="22"/>
                <w:szCs w:val="22"/>
              </w:rPr>
            </w:pPr>
            <w:r>
              <w:rPr>
                <w:color w:val="auto"/>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1634" w:type="dxa"/>
            <w:gridSpan w:val="4"/>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2022-2023</w:t>
            </w:r>
          </w:p>
        </w:tc>
        <w:tc>
          <w:tcPr>
            <w:tcW w:w="2281" w:type="dxa"/>
            <w:gridSpan w:val="3"/>
            <w:vMerge w:val="restart"/>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Повышение эффективности использования муниципального имущества</w:t>
            </w:r>
          </w:p>
        </w:tc>
        <w:tc>
          <w:tcPr>
            <w:tcW w:w="2041" w:type="dxa"/>
            <w:gridSpan w:val="3"/>
            <w:tcBorders>
              <w:left w:val="single" w:sz="4" w:space="0" w:color="000000"/>
              <w:bottom w:val="single" w:sz="4" w:space="0" w:color="000000"/>
            </w:tcBorders>
            <w:shd w:color="auto" w:fill="auto" w:val="clear"/>
          </w:tcPr>
          <w:p>
            <w:pPr>
              <w:pStyle w:val="Default"/>
              <w:jc w:val="center"/>
              <w:rPr>
                <w:color w:val="auto"/>
              </w:rPr>
            </w:pPr>
            <w:r>
              <w:rPr>
                <w:color w:val="auto"/>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местного самоуправления</w:t>
            </w:r>
          </w:p>
        </w:tc>
        <w:tc>
          <w:tcPr>
            <w:tcW w:w="96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5"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6"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16.2</w:t>
            </w:r>
          </w:p>
        </w:tc>
        <w:tc>
          <w:tcPr>
            <w:tcW w:w="2247" w:type="dxa"/>
            <w:tcBorders>
              <w:left w:val="single" w:sz="4" w:space="0" w:color="000000"/>
              <w:bottom w:val="single" w:sz="4" w:space="0" w:color="000000"/>
            </w:tcBorders>
            <w:shd w:color="auto" w:fill="auto" w:val="clear"/>
          </w:tcPr>
          <w:p>
            <w:pPr>
              <w:pStyle w:val="Default"/>
              <w:jc w:val="both"/>
              <w:rPr>
                <w:color w:val="auto"/>
              </w:rPr>
            </w:pPr>
            <w:r>
              <w:rPr>
                <w:color w:val="auto"/>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634" w:type="dxa"/>
            <w:gridSpan w:val="4"/>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highlight w:val="yellow"/>
              </w:rPr>
            </w:pPr>
            <w:r>
              <w:rPr>
                <w:rFonts w:cs="Times New Roman" w:ascii="Times New Roman" w:hAnsi="Times New Roman"/>
                <w:sz w:val="24"/>
                <w:szCs w:val="24"/>
              </w:rPr>
              <w:t>2022-2023</w:t>
            </w:r>
          </w:p>
        </w:tc>
        <w:tc>
          <w:tcPr>
            <w:tcW w:w="2281" w:type="dxa"/>
            <w:gridSpan w:val="3"/>
            <w:vMerge w:val="continue"/>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41"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Составление акта инвентаризации</w:t>
            </w:r>
          </w:p>
        </w:tc>
        <w:tc>
          <w:tcPr>
            <w:tcW w:w="96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5"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6"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16.3</w:t>
            </w:r>
          </w:p>
        </w:tc>
        <w:tc>
          <w:tcPr>
            <w:tcW w:w="2247" w:type="dxa"/>
            <w:tcBorders>
              <w:left w:val="single" w:sz="4" w:space="0" w:color="000000"/>
              <w:bottom w:val="single" w:sz="4" w:space="0" w:color="000000"/>
            </w:tcBorders>
            <w:shd w:color="auto" w:fill="auto" w:val="clear"/>
          </w:tcPr>
          <w:p>
            <w:pPr>
              <w:pStyle w:val="Default"/>
              <w:jc w:val="both"/>
              <w:rPr>
                <w:color w:val="auto"/>
              </w:rPr>
            </w:pPr>
            <w:r>
              <w:rPr>
                <w:color w:val="auto"/>
              </w:rPr>
              <w:t>При выявлении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включение такого муниципального имущества, в том числе закрепленного за предприятиями, учреждениями, в программу приватизации, утверждение плана по перепрофилированию имущества</w:t>
            </w:r>
          </w:p>
        </w:tc>
        <w:tc>
          <w:tcPr>
            <w:tcW w:w="1634" w:type="dxa"/>
            <w:gridSpan w:val="4"/>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2022-2023</w:t>
            </w:r>
          </w:p>
        </w:tc>
        <w:tc>
          <w:tcPr>
            <w:tcW w:w="2281" w:type="dxa"/>
            <w:gridSpan w:val="3"/>
            <w:vMerge w:val="continue"/>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41" w:type="dxa"/>
            <w:gridSpan w:val="3"/>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Включение муниципального имущества, в том числе закрепленного за предприятиями, учреждениями, в программу приватизации</w:t>
            </w:r>
          </w:p>
        </w:tc>
        <w:tc>
          <w:tcPr>
            <w:tcW w:w="96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Наличие</w:t>
            </w:r>
          </w:p>
        </w:tc>
        <w:tc>
          <w:tcPr>
            <w:tcW w:w="854"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5"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56" w:type="dxa"/>
            <w:gridSpan w:val="2"/>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841"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Нет</w:t>
            </w:r>
          </w:p>
        </w:tc>
        <w:tc>
          <w:tcPr>
            <w:tcW w:w="179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16.4</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color w:val="auto"/>
              </w:rPr>
            </w:pPr>
            <w:r>
              <w:rPr>
                <w:color w:val="auto"/>
              </w:rPr>
              <w:t>Выявление объектов муниципального имущества для включения в Перечень объектов имущества для предоставления субъектам МСП и самозанятым гражданам</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2024-2025</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Повышение эффективности использования муниципального имущества</w:t>
            </w:r>
          </w:p>
        </w:tc>
        <w:tc>
          <w:tcPr>
            <w:tcW w:w="20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Сформирован перечень имущества, находящегося в муниципальной собственности для предоставления субъектам МСП и самозанятым гражданам</w:t>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hd w:fill="FFFFFF" w:val="clear"/>
              </w:rPr>
              <w:t>Нали</w:t>
            </w:r>
          </w:p>
          <w:p>
            <w:pPr>
              <w:pStyle w:val="Normal"/>
              <w:spacing w:lineRule="auto" w:line="240" w:before="0" w:after="0"/>
              <w:jc w:val="center"/>
              <w:rPr/>
            </w:pPr>
            <w:r>
              <w:rPr>
                <w:rFonts w:cs="Times New Roman" w:ascii="Times New Roman" w:hAnsi="Times New Roman"/>
                <w:shd w:fill="FFFFFF" w:val="clear"/>
              </w:rPr>
              <w:t>чие</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17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023"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16.5</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shd w:fill="FFFFFF" w:val="clear"/>
              </w:rPr>
            </w:pPr>
            <w:r>
              <w:rPr>
                <w:shd w:fill="FFFFFF" w:val="clear"/>
              </w:rPr>
              <w:t xml:space="preserve">Включение объектов имущества в </w:t>
            </w:r>
            <w:r>
              <w:rPr>
                <w:color w:val="auto"/>
              </w:rPr>
              <w:t>Перечень объектов имущества для предоставления субъектам МСП и самозанятым гражданам</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2024-2025</w:t>
            </w:r>
          </w:p>
        </w:tc>
        <w:tc>
          <w:tcPr>
            <w:tcW w:w="22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pPr>
            <w:r>
              <w:rPr/>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чие</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hd w:fill="FFFFFF" w:val="clear"/>
              </w:rPr>
            </w:pPr>
            <w:r>
              <w:rPr>
                <w:rFonts w:cs="Times New Roman" w:ascii="Times New Roman" w:hAnsi="Times New Roman"/>
                <w:sz w:val="24"/>
                <w:szCs w:val="24"/>
                <w:shd w:fill="FFFFFF" w:val="clear"/>
              </w:rPr>
              <w:t>Да</w:t>
            </w:r>
          </w:p>
        </w:tc>
        <w:tc>
          <w:tcPr>
            <w:tcW w:w="17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16.6</w:t>
            </w:r>
          </w:p>
        </w:tc>
        <w:tc>
          <w:tcPr>
            <w:tcW w:w="227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Default"/>
              <w:jc w:val="both"/>
              <w:rPr>
                <w:shd w:fill="FFFFFF" w:val="clear"/>
              </w:rPr>
            </w:pPr>
            <w:r>
              <w:rPr>
                <w:shd w:fill="FFFFFF" w:val="clear"/>
              </w:rPr>
              <w:t>Предоставление объектов имущества в аренду на льготных условиях субъектам МСП и самозанятым гражданам</w:t>
            </w:r>
          </w:p>
        </w:tc>
        <w:tc>
          <w:tcPr>
            <w:tcW w:w="163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shd w:fill="FFFFFF" w:val="clear"/>
              </w:rPr>
            </w:pPr>
            <w:r>
              <w:rPr>
                <w:rFonts w:ascii="Times New Roman" w:hAnsi="Times New Roman"/>
                <w:sz w:val="24"/>
                <w:szCs w:val="24"/>
                <w:shd w:fill="FFFFFF" w:val="clear"/>
              </w:rPr>
              <w:t>2024-2025</w:t>
            </w:r>
          </w:p>
        </w:tc>
        <w:tc>
          <w:tcPr>
            <w:tcW w:w="22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20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pPr>
            <w:r>
              <w:rPr/>
            </w:r>
          </w:p>
        </w:tc>
        <w:tc>
          <w:tcPr>
            <w:tcW w:w="9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Нали чие</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color w:val="C9211E"/>
              </w:rPr>
            </w:pPr>
            <w:r>
              <w:rPr>
                <w:color w:val="C9211E"/>
              </w:rPr>
            </w:r>
          </w:p>
        </w:tc>
        <w:tc>
          <w:tcPr>
            <w:tcW w:w="8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w:t>
            </w:r>
          </w:p>
        </w:tc>
        <w:tc>
          <w:tcPr>
            <w:tcW w:w="17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t>17</w:t>
            </w:r>
          </w:p>
        </w:tc>
        <w:tc>
          <w:tcPr>
            <w:tcW w:w="15209" w:type="dxa"/>
            <w:gridSpan w:val="23"/>
            <w:tcBorders>
              <w:left w:val="single" w:sz="4" w:space="0" w:color="000000"/>
              <w:bottom w:val="single" w:sz="4" w:space="0" w:color="000000"/>
              <w:right w:val="single" w:sz="4" w:space="0" w:color="000000"/>
            </w:tcBorders>
            <w:shd w:color="auto" w:fill="auto" w:val="clear"/>
          </w:tcPr>
          <w:p>
            <w:pPr>
              <w:pStyle w:val="Default"/>
              <w:jc w:val="center"/>
              <w:rPr>
                <w:b w:val="false"/>
                <w:bCs w:val="false"/>
                <w:shd w:fill="FFFFFF" w:val="clear"/>
              </w:rPr>
            </w:pPr>
            <w:r>
              <w:rPr>
                <w:b w:val="false"/>
                <w:bCs w:val="false"/>
                <w:shd w:fill="FFFFFF" w:val="clear"/>
              </w:rPr>
              <w:t>Повышение финансовой доступности в сельской местности и на отдельных, малонаселённых и труднодоступных территориях  Павловского муниципального района</w:t>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17.1</w:t>
            </w:r>
          </w:p>
        </w:tc>
        <w:tc>
          <w:tcPr>
            <w:tcW w:w="2250" w:type="dxa"/>
            <w:gridSpan w:val="2"/>
            <w:tcBorders>
              <w:left w:val="single" w:sz="4" w:space="0" w:color="000000"/>
              <w:bottom w:val="single" w:sz="4" w:space="0" w:color="000000"/>
            </w:tcBorders>
            <w:shd w:color="auto" w:fill="auto" w:val="clear"/>
          </w:tcPr>
          <w:p>
            <w:pPr>
              <w:pStyle w:val="Default"/>
              <w:jc w:val="left"/>
              <w:rPr>
                <w:shd w:fill="FFFFFF" w:val="clear"/>
              </w:rPr>
            </w:pPr>
            <w:r>
              <w:rPr>
                <w:shd w:fill="FFFFFF" w:val="clear"/>
              </w:rPr>
              <w:t>Информирование населения и субъектов МСП о перспективных формах получения финансовых услуг и новых способах приёма платежей ( в том числе мобильный офис, мобильный менеджер, сервис «наличные на кассе», финансовые услуги в отделении почтовые связи, оплата услуг ЖКХ с использованием дистанционных каналов )</w:t>
            </w:r>
          </w:p>
        </w:tc>
        <w:tc>
          <w:tcPr>
            <w:tcW w:w="1634" w:type="dxa"/>
            <w:gridSpan w:val="4"/>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sz w:val="24"/>
                <w:szCs w:val="24"/>
                <w:shd w:fill="FFFFFF" w:val="clear"/>
              </w:rPr>
            </w:pPr>
            <w:r>
              <w:rPr>
                <w:rFonts w:ascii="Times New Roman" w:hAnsi="Times New Roman"/>
                <w:sz w:val="24"/>
                <w:szCs w:val="24"/>
              </w:rPr>
              <w:t>2024-2025</w:t>
            </w:r>
          </w:p>
        </w:tc>
        <w:tc>
          <w:tcPr>
            <w:tcW w:w="2326" w:type="dxa"/>
            <w:gridSpan w:val="4"/>
            <w:tcBorders>
              <w:left w:val="single" w:sz="4" w:space="0" w:color="000000"/>
              <w:bottom w:val="single" w:sz="4" w:space="0" w:color="000000"/>
            </w:tcBorders>
            <w:shd w:color="auto" w:fill="auto" w:val="clear"/>
          </w:tcPr>
          <w:p>
            <w:pPr>
              <w:pStyle w:val="Default"/>
              <w:jc w:val="center"/>
              <w:rPr>
                <w:shd w:fill="FFFFFF" w:val="clear"/>
              </w:rPr>
            </w:pPr>
            <w:r>
              <w:rPr>
                <w:shd w:fill="FFFFFF" w:val="clear"/>
              </w:rPr>
              <w:t>Информирование населения</w:t>
            </w:r>
          </w:p>
        </w:tc>
        <w:tc>
          <w:tcPr>
            <w:tcW w:w="1995" w:type="dxa"/>
            <w:gridSpan w:val="2"/>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60" w:type="dxa"/>
            <w:gridSpan w:val="2"/>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Исполнено/Неисполнено</w:t>
            </w:r>
          </w:p>
        </w:tc>
        <w:tc>
          <w:tcPr>
            <w:tcW w:w="856" w:type="dxa"/>
            <w:gridSpan w:val="2"/>
            <w:tcBorders>
              <w:left w:val="single" w:sz="4" w:space="0" w:color="000000"/>
              <w:bottom w:val="single" w:sz="4" w:space="0" w:color="000000"/>
            </w:tcBorders>
            <w:shd w:color="auto" w:fill="auto" w:val="clear"/>
          </w:tcPr>
          <w:p>
            <w:pPr>
              <w:pStyle w:val="Default"/>
              <w:jc w:val="center"/>
              <w:rPr>
                <w:shd w:fill="FFFFFF" w:val="clear"/>
              </w:rPr>
            </w:pPr>
            <w:r>
              <w:rPr>
                <w:shd w:fill="FFFFFF" w:val="clear"/>
              </w:rPr>
            </w:r>
          </w:p>
        </w:tc>
        <w:tc>
          <w:tcPr>
            <w:tcW w:w="839" w:type="dxa"/>
            <w:gridSpan w:val="2"/>
            <w:tcBorders>
              <w:left w:val="single" w:sz="4" w:space="0" w:color="000000"/>
              <w:bottom w:val="single" w:sz="4" w:space="0" w:color="000000"/>
            </w:tcBorders>
            <w:shd w:color="auto" w:fill="auto" w:val="clear"/>
          </w:tcPr>
          <w:p>
            <w:pPr>
              <w:pStyle w:val="Default"/>
              <w:jc w:val="center"/>
              <w:rPr>
                <w:shd w:fill="FFFFFF" w:val="clear"/>
              </w:rPr>
            </w:pPr>
            <w:r>
              <w:rPr>
                <w:shd w:fill="FFFFFF" w:val="clear"/>
              </w:rPr>
            </w:r>
          </w:p>
        </w:tc>
        <w:tc>
          <w:tcPr>
            <w:tcW w:w="856" w:type="dxa"/>
            <w:gridSpan w:val="2"/>
            <w:tcBorders>
              <w:left w:val="single" w:sz="4" w:space="0" w:color="000000"/>
              <w:bottom w:val="single" w:sz="4" w:space="0" w:color="000000"/>
            </w:tcBorders>
            <w:shd w:color="auto" w:fill="auto" w:val="clear"/>
          </w:tcPr>
          <w:p>
            <w:pPr>
              <w:pStyle w:val="Default"/>
              <w:jc w:val="center"/>
              <w:rPr>
                <w:shd w:fill="FFFFFF" w:val="clear"/>
              </w:rPr>
            </w:pPr>
            <w:r>
              <w:rPr>
                <w:shd w:fill="FFFFFF" w:val="clear"/>
              </w:rPr>
            </w:r>
          </w:p>
        </w:tc>
        <w:tc>
          <w:tcPr>
            <w:tcW w:w="854"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Исполнено</w:t>
            </w:r>
          </w:p>
        </w:tc>
        <w:tc>
          <w:tcPr>
            <w:tcW w:w="841"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Исполнено</w:t>
            </w:r>
          </w:p>
        </w:tc>
        <w:tc>
          <w:tcPr>
            <w:tcW w:w="1798" w:type="dxa"/>
            <w:tcBorders>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t xml:space="preserve">Отдел социально-экономического развития, муниципального контроля и поддержки предпринимательства администрации Павловского муниципального района </w:t>
            </w:r>
            <w:r>
              <w:rPr/>
              <w:t>Воронежской области</w:t>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17.2</w:t>
            </w:r>
          </w:p>
        </w:tc>
        <w:tc>
          <w:tcPr>
            <w:tcW w:w="2250" w:type="dxa"/>
            <w:gridSpan w:val="2"/>
            <w:tcBorders>
              <w:left w:val="single" w:sz="4" w:space="0" w:color="000000"/>
              <w:bottom w:val="single" w:sz="4" w:space="0" w:color="000000"/>
            </w:tcBorders>
            <w:shd w:color="auto" w:fill="auto" w:val="clear"/>
          </w:tcPr>
          <w:p>
            <w:pPr>
              <w:pStyle w:val="NoSpacing"/>
              <w:rPr>
                <w:sz w:val="24"/>
                <w:szCs w:val="24"/>
              </w:rPr>
            </w:pPr>
            <w:r>
              <w:rPr>
                <w:rFonts w:eastAsia="Calibri" w:ascii="Times New Roman" w:hAnsi="Times New Roman"/>
                <w:sz w:val="24"/>
                <w:szCs w:val="24"/>
                <w:lang w:eastAsia="en-US"/>
              </w:rPr>
              <w:t>Содействие организации строительства и модернизации телекоммуникационными компаниями сооружений связи для развития сетей 3G и 4G на территории Павловского муниципального района</w:t>
            </w:r>
          </w:p>
        </w:tc>
        <w:tc>
          <w:tcPr>
            <w:tcW w:w="1634" w:type="dxa"/>
            <w:gridSpan w:val="4"/>
            <w:tcBorders>
              <w:left w:val="single" w:sz="4" w:space="0" w:color="000000"/>
              <w:bottom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2024-2025</w:t>
            </w:r>
          </w:p>
        </w:tc>
        <w:tc>
          <w:tcPr>
            <w:tcW w:w="2326" w:type="dxa"/>
            <w:gridSpan w:val="4"/>
            <w:tcBorders>
              <w:left w:val="single" w:sz="4" w:space="0" w:color="000000"/>
              <w:bottom w:val="single" w:sz="4" w:space="0" w:color="000000"/>
            </w:tcBorders>
            <w:shd w:color="auto" w:fill="auto" w:val="clear"/>
          </w:tcPr>
          <w:p>
            <w:pPr>
              <w:pStyle w:val="Normal"/>
              <w:spacing w:lineRule="auto" w:line="240" w:before="0" w:after="0"/>
              <w:jc w:val="both"/>
              <w:rPr>
                <w:sz w:val="24"/>
                <w:szCs w:val="24"/>
              </w:rPr>
            </w:pPr>
            <w:r>
              <w:rPr>
                <w:rFonts w:eastAsia="Calibri" w:cs="Times New Roman" w:ascii="Times New Roman" w:hAnsi="Times New Roman"/>
                <w:sz w:val="24"/>
                <w:szCs w:val="24"/>
                <w:lang w:eastAsia="en-US"/>
              </w:rPr>
              <w:t>Развитие сетей 3G и 4G на территории Воронежской области</w:t>
            </w:r>
          </w:p>
        </w:tc>
        <w:tc>
          <w:tcPr>
            <w:tcW w:w="1995" w:type="dxa"/>
            <w:gridSpan w:val="2"/>
            <w:tcBorders>
              <w:left w:val="single" w:sz="4" w:space="0" w:color="000000"/>
              <w:bottom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Доля домохозяйств, которым обеспечена возможность широкополосного доступа к сети Интернет, %</w:t>
            </w:r>
          </w:p>
        </w:tc>
        <w:tc>
          <w:tcPr>
            <w:tcW w:w="960" w:type="dxa"/>
            <w:gridSpan w:val="2"/>
            <w:vMerge w:val="restart"/>
            <w:tcBorders>
              <w:left w:val="single" w:sz="4" w:space="0" w:color="000000"/>
              <w:bottom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lang w:eastAsia="en-US"/>
              </w:rPr>
              <w:t>Проценты</w:t>
            </w:r>
          </w:p>
        </w:tc>
        <w:tc>
          <w:tcPr>
            <w:tcW w:w="856" w:type="dxa"/>
            <w:gridSpan w:val="2"/>
            <w:vMerge w:val="restart"/>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9" w:type="dxa"/>
            <w:gridSpan w:val="2"/>
            <w:vMerge w:val="restart"/>
            <w:tcBorders>
              <w:left w:val="single" w:sz="4" w:space="0" w:color="000000"/>
              <w:bottom w:val="single" w:sz="4" w:space="0" w:color="000000"/>
            </w:tcBorders>
            <w:shd w:color="auto" w:fill="auto" w:val="clear"/>
          </w:tcPr>
          <w:p>
            <w:pPr>
              <w:pStyle w:val="Normal"/>
              <w:spacing w:lineRule="auto" w:line="240" w:before="0" w:after="0"/>
              <w:jc w:val="center"/>
              <w:rPr>
                <w:sz w:val="24"/>
                <w:szCs w:val="24"/>
              </w:rPr>
            </w:pPr>
            <w:r>
              <w:rPr>
                <w:sz w:val="24"/>
                <w:szCs w:val="24"/>
              </w:rPr>
            </w:r>
          </w:p>
        </w:tc>
        <w:tc>
          <w:tcPr>
            <w:tcW w:w="856" w:type="dxa"/>
            <w:gridSpan w:val="2"/>
            <w:vMerge w:val="restart"/>
            <w:tcBorders>
              <w:left w:val="single" w:sz="4" w:space="0" w:color="000000"/>
              <w:bottom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41,7</w:t>
            </w:r>
          </w:p>
        </w:tc>
        <w:tc>
          <w:tcPr>
            <w:tcW w:w="854" w:type="dxa"/>
            <w:vMerge w:val="restart"/>
            <w:tcBorders>
              <w:left w:val="single" w:sz="4" w:space="0" w:color="000000"/>
              <w:bottom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43,6</w:t>
            </w:r>
          </w:p>
        </w:tc>
        <w:tc>
          <w:tcPr>
            <w:tcW w:w="841" w:type="dxa"/>
            <w:vMerge w:val="restart"/>
            <w:tcBorders>
              <w:left w:val="single" w:sz="4" w:space="0" w:color="000000"/>
              <w:bottom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45,8</w:t>
            </w:r>
          </w:p>
        </w:tc>
        <w:tc>
          <w:tcPr>
            <w:tcW w:w="1798" w:type="dxa"/>
            <w:vMerge w:val="restart"/>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24"/>
                <w:szCs w:val="24"/>
              </w:rPr>
            </w:pPr>
            <w:r>
              <w:rPr>
                <w:rFonts w:cs="Times New Roman" w:ascii="Times New Roman" w:hAnsi="Times New Roman"/>
                <w:sz w:val="24"/>
                <w:szCs w:val="24"/>
              </w:rPr>
              <w:t>Отдел по строительств, жилищно-коммунальному хозяйству и транспорту администрации Павловского муниципального района</w:t>
            </w:r>
          </w:p>
        </w:tc>
      </w:tr>
      <w:tr>
        <w:trPr/>
        <w:tc>
          <w:tcPr>
            <w:tcW w:w="75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17.3</w:t>
            </w:r>
          </w:p>
        </w:tc>
        <w:tc>
          <w:tcPr>
            <w:tcW w:w="2250" w:type="dxa"/>
            <w:gridSpan w:val="2"/>
            <w:tcBorders>
              <w:left w:val="single" w:sz="4" w:space="0" w:color="000000"/>
              <w:bottom w:val="single" w:sz="4" w:space="0" w:color="000000"/>
            </w:tcBorders>
            <w:shd w:color="auto" w:fill="auto" w:val="clear"/>
          </w:tcPr>
          <w:p>
            <w:pPr>
              <w:pStyle w:val="NoSpacing"/>
              <w:rPr>
                <w:rFonts w:ascii="Times New Roman" w:hAnsi="Times New Roman" w:eastAsia="Calibri"/>
                <w:lang w:eastAsia="en-US"/>
              </w:rPr>
            </w:pPr>
            <w:r>
              <w:rPr>
                <w:rFonts w:eastAsia="Calibri" w:ascii="Times New Roman" w:hAnsi="Times New Roman"/>
                <w:lang w:eastAsia="en-US"/>
              </w:rPr>
              <w:t>Проведение мониторинга наличия оператора связи в сельских поселениях</w:t>
            </w:r>
          </w:p>
        </w:tc>
        <w:tc>
          <w:tcPr>
            <w:tcW w:w="1634" w:type="dxa"/>
            <w:gridSpan w:val="4"/>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2024-2025</w:t>
            </w:r>
          </w:p>
        </w:tc>
        <w:tc>
          <w:tcPr>
            <w:tcW w:w="2326" w:type="dxa"/>
            <w:gridSpan w:val="4"/>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lang w:eastAsia="en-US"/>
              </w:rPr>
              <w:t>Организация зоны покрытия сотовой связи и беспроводного интернета на территориях с малой плотностью населения</w:t>
            </w:r>
          </w:p>
        </w:tc>
        <w:tc>
          <w:tcPr>
            <w:tcW w:w="1995" w:type="dxa"/>
            <w:gridSpan w:val="2"/>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60" w:type="dxa"/>
            <w:gridSpan w:val="2"/>
            <w:vMerge w:val="continue"/>
            <w:tcBorders>
              <w:left w:val="single" w:sz="4" w:space="0" w:color="000000"/>
              <w:bottom w:val="single" w:sz="4" w:space="0" w:color="000000"/>
            </w:tcBorders>
            <w:shd w:color="auto" w:fill="auto" w:val="clear"/>
          </w:tcPr>
          <w:p>
            <w:pPr>
              <w:pStyle w:val="Default"/>
              <w:jc w:val="center"/>
              <w:rPr>
                <w:shd w:fill="FFFFFF" w:val="clear"/>
              </w:rPr>
            </w:pPr>
            <w:r>
              <w:rPr>
                <w:shd w:fill="FFFFFF" w:val="clear"/>
              </w:rPr>
            </w:r>
          </w:p>
        </w:tc>
        <w:tc>
          <w:tcPr>
            <w:tcW w:w="856" w:type="dxa"/>
            <w:gridSpan w:val="2"/>
            <w:vMerge w:val="continue"/>
            <w:tcBorders>
              <w:left w:val="single" w:sz="4" w:space="0" w:color="000000"/>
              <w:bottom w:val="single" w:sz="4" w:space="0" w:color="000000"/>
            </w:tcBorders>
            <w:shd w:color="auto" w:fill="auto" w:val="clear"/>
          </w:tcPr>
          <w:p>
            <w:pPr>
              <w:pStyle w:val="Default"/>
              <w:jc w:val="center"/>
              <w:rPr>
                <w:shd w:fill="FFFFFF" w:val="clear"/>
              </w:rPr>
            </w:pPr>
            <w:r>
              <w:rPr>
                <w:shd w:fill="FFFFFF" w:val="clear"/>
              </w:rPr>
            </w:r>
          </w:p>
        </w:tc>
        <w:tc>
          <w:tcPr>
            <w:tcW w:w="839" w:type="dxa"/>
            <w:gridSpan w:val="2"/>
            <w:vMerge w:val="continue"/>
            <w:tcBorders>
              <w:left w:val="single" w:sz="4" w:space="0" w:color="000000"/>
              <w:bottom w:val="single" w:sz="4" w:space="0" w:color="000000"/>
            </w:tcBorders>
            <w:shd w:color="auto" w:fill="auto" w:val="clear"/>
          </w:tcPr>
          <w:p>
            <w:pPr>
              <w:pStyle w:val="Default"/>
              <w:jc w:val="center"/>
              <w:rPr>
                <w:shd w:fill="FFFFFF" w:val="clear"/>
              </w:rPr>
            </w:pPr>
            <w:r>
              <w:rPr>
                <w:shd w:fill="FFFFFF" w:val="clear"/>
              </w:rPr>
            </w:r>
          </w:p>
        </w:tc>
        <w:tc>
          <w:tcPr>
            <w:tcW w:w="856" w:type="dxa"/>
            <w:gridSpan w:val="2"/>
            <w:vMerge w:val="continue"/>
            <w:tcBorders>
              <w:left w:val="single" w:sz="4" w:space="0" w:color="000000"/>
              <w:bottom w:val="single" w:sz="4" w:space="0" w:color="000000"/>
            </w:tcBorders>
            <w:shd w:color="auto" w:fill="auto" w:val="clear"/>
          </w:tcPr>
          <w:p>
            <w:pPr>
              <w:pStyle w:val="Default"/>
              <w:jc w:val="center"/>
              <w:rPr>
                <w:shd w:fill="FFFFFF" w:val="clear"/>
              </w:rPr>
            </w:pPr>
            <w:r>
              <w:rPr>
                <w:shd w:fill="FFFFFF" w:val="clear"/>
              </w:rPr>
            </w:r>
          </w:p>
        </w:tc>
        <w:tc>
          <w:tcPr>
            <w:tcW w:w="854" w:type="dxa"/>
            <w:vMerge w:val="continue"/>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841" w:type="dxa"/>
            <w:vMerge w:val="continue"/>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98" w:type="dxa"/>
            <w:vMerge w:val="continue"/>
            <w:tcBorders>
              <w:left w:val="single" w:sz="4" w:space="0" w:color="000000"/>
              <w:bottom w:val="single" w:sz="4" w:space="0" w:color="000000"/>
              <w:right w:val="single" w:sz="4" w:space="0" w:color="000000"/>
            </w:tcBorders>
            <w:shd w:color="auto" w:fill="auto" w:val="clear"/>
          </w:tcPr>
          <w:p>
            <w:pPr>
              <w:pStyle w:val="Default"/>
              <w:jc w:val="center"/>
              <w:rPr>
                <w:color w:val="auto"/>
              </w:rPr>
            </w:pPr>
            <w:r>
              <w:rPr>
                <w:color w:val="auto"/>
              </w:rPr>
            </w:r>
          </w:p>
        </w:tc>
      </w:tr>
    </w:tbl>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rPr>
          <w:rFonts w:ascii="Times New Roman" w:hAnsi="Times New Roman" w:cs="Times New Roman"/>
          <w:sz w:val="26"/>
          <w:szCs w:val="26"/>
        </w:rPr>
      </w:pPr>
      <w:r>
        <w:rPr>
          <w:rFonts w:eastAsia="Times New Roman" w:cs="Times New Roman" w:ascii="Times New Roman" w:hAnsi="Times New Roman"/>
          <w:bCs/>
          <w:color w:val="000000"/>
          <w:sz w:val="26"/>
          <w:szCs w:val="26"/>
        </w:rPr>
        <w:t>И.о главы Павловского муниципального</w:t>
      </w:r>
    </w:p>
    <w:p>
      <w:pPr>
        <w:pStyle w:val="Normal"/>
        <w:spacing w:lineRule="auto" w:line="240" w:before="0" w:after="0"/>
        <w:rPr>
          <w:rFonts w:ascii="Times New Roman" w:hAnsi="Times New Roman" w:cs="Times New Roman"/>
          <w:sz w:val="26"/>
          <w:szCs w:val="26"/>
        </w:rPr>
      </w:pPr>
      <w:r>
        <w:rPr>
          <w:rFonts w:eastAsia="Times New Roman" w:cs="Times New Roman" w:ascii="Times New Roman" w:hAnsi="Times New Roman"/>
          <w:bCs/>
          <w:color w:val="000000"/>
          <w:sz w:val="26"/>
          <w:szCs w:val="26"/>
        </w:rPr>
        <w:t>района Воронежской области                                                                                                                                       Ю.А. Черенков</w:t>
      </w:r>
    </w:p>
    <w:sectPr>
      <w:type w:val="nextPage"/>
      <w:pgSz w:orient="landscape" w:w="16838" w:h="11906"/>
      <w:pgMar w:left="1134" w:right="1134" w:gutter="0" w:header="0" w:top="1701" w:footer="0" w:bottom="993"/>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4243"/>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qFormat/>
    <w:rsid w:val="00142a65"/>
    <w:pPr>
      <w:keepNext w:val="true"/>
      <w:spacing w:lineRule="auto" w:line="240" w:before="0" w:after="0"/>
      <w:outlineLvl w:val="0"/>
    </w:pPr>
    <w:rPr>
      <w:rFonts w:ascii="Times New Roman" w:hAnsi="Times New Roman" w:eastAsia="Times New Roman" w:cs="Times New Roman"/>
      <w:sz w:val="28"/>
      <w:szCs w:val="28"/>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d96b8b"/>
    <w:rPr>
      <w:rFonts w:ascii="Calibri" w:hAnsi="Calibri" w:eastAsia="Times New Roman" w:cs="Calibri"/>
      <w:szCs w:val="20"/>
    </w:rPr>
  </w:style>
  <w:style w:type="character" w:styleId="Style13" w:customStyle="1">
    <w:name w:val="Верхний колонтитул Знак"/>
    <w:basedOn w:val="DefaultParagraphFont"/>
    <w:uiPriority w:val="99"/>
    <w:qFormat/>
    <w:rsid w:val="00d96b8b"/>
    <w:rPr/>
  </w:style>
  <w:style w:type="character" w:styleId="Style14" w:customStyle="1">
    <w:name w:val="Нижний колонтитул Знак"/>
    <w:basedOn w:val="DefaultParagraphFont"/>
    <w:uiPriority w:val="99"/>
    <w:semiHidden/>
    <w:qFormat/>
    <w:rsid w:val="00d96b8b"/>
    <w:rPr/>
  </w:style>
  <w:style w:type="character" w:styleId="2" w:customStyle="1">
    <w:name w:val="Обычный (веб) Знак2"/>
    <w:link w:val="NormalWeb"/>
    <w:uiPriority w:val="99"/>
    <w:qFormat/>
    <w:rsid w:val="00d96b8b"/>
    <w:rPr>
      <w:rFonts w:ascii="Times New Roman" w:hAnsi="Times New Roman" w:eastAsia="Times New Roman" w:cs="Times New Roman"/>
      <w:sz w:val="24"/>
      <w:szCs w:val="24"/>
    </w:rPr>
  </w:style>
  <w:style w:type="character" w:styleId="Style15" w:customStyle="1">
    <w:name w:val="Без интервала Знак"/>
    <w:link w:val="NoSpacing"/>
    <w:uiPriority w:val="1"/>
    <w:qFormat/>
    <w:locked/>
    <w:rsid w:val="00d96b8b"/>
    <w:rPr>
      <w:rFonts w:ascii="Calibri" w:hAnsi="Calibri" w:eastAsia="Times New Roman" w:cs="Times New Roman"/>
    </w:rPr>
  </w:style>
  <w:style w:type="character" w:styleId="Apple-converted-space" w:customStyle="1">
    <w:name w:val="apple-converted-space"/>
    <w:basedOn w:val="DefaultParagraphFont"/>
    <w:qFormat/>
    <w:rsid w:val="00f0413b"/>
    <w:rPr/>
  </w:style>
  <w:style w:type="character" w:styleId="Emphasis">
    <w:name w:val="Emphasis"/>
    <w:basedOn w:val="DefaultParagraphFont"/>
    <w:uiPriority w:val="20"/>
    <w:qFormat/>
    <w:rsid w:val="00f0413b"/>
    <w:rPr>
      <w:i/>
      <w:iCs/>
    </w:rPr>
  </w:style>
  <w:style w:type="character" w:styleId="Style16">
    <w:name w:val="Символ сноски"/>
    <w:uiPriority w:val="99"/>
    <w:semiHidden/>
    <w:qFormat/>
    <w:rsid w:val="0035133e"/>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rsid w:val="00843e5e"/>
    <w:rPr>
      <w:color w:val="0000FF"/>
      <w:u w:val="single"/>
    </w:rPr>
  </w:style>
  <w:style w:type="character" w:styleId="UnresolvedMention" w:customStyle="1">
    <w:name w:val="Unresolved Mention"/>
    <w:basedOn w:val="DefaultParagraphFont"/>
    <w:uiPriority w:val="99"/>
    <w:semiHidden/>
    <w:unhideWhenUsed/>
    <w:qFormat/>
    <w:rsid w:val="007023b2"/>
    <w:rPr>
      <w:color w:val="605E5C"/>
      <w:shd w:fill="E1DFDD" w:val="clear"/>
    </w:rPr>
  </w:style>
  <w:style w:type="character" w:styleId="Linenumber">
    <w:name w:val="line number"/>
    <w:basedOn w:val="DefaultParagraphFont"/>
    <w:uiPriority w:val="99"/>
    <w:semiHidden/>
    <w:unhideWhenUsed/>
    <w:qFormat/>
    <w:rsid w:val="004f14b5"/>
    <w:rPr/>
  </w:style>
  <w:style w:type="character" w:styleId="Style17" w:customStyle="1">
    <w:name w:val="Текст выноски Знак"/>
    <w:basedOn w:val="DefaultParagraphFont"/>
    <w:link w:val="BalloonText"/>
    <w:uiPriority w:val="99"/>
    <w:semiHidden/>
    <w:qFormat/>
    <w:rsid w:val="00ee512b"/>
    <w:rPr>
      <w:rFonts w:ascii="Tahoma" w:hAnsi="Tahoma" w:cs="Tahoma"/>
      <w:sz w:val="16"/>
      <w:szCs w:val="16"/>
    </w:rPr>
  </w:style>
  <w:style w:type="character" w:styleId="Strong">
    <w:name w:val="Strong"/>
    <w:basedOn w:val="DefaultParagraphFont"/>
    <w:uiPriority w:val="22"/>
    <w:qFormat/>
    <w:rsid w:val="00142a65"/>
    <w:rPr>
      <w:b/>
      <w:bCs/>
    </w:rPr>
  </w:style>
  <w:style w:type="character" w:styleId="1" w:customStyle="1">
    <w:name w:val="Заголовок 1 Знак"/>
    <w:basedOn w:val="DefaultParagraphFont"/>
    <w:qFormat/>
    <w:rsid w:val="00142a65"/>
    <w:rPr>
      <w:rFonts w:ascii="Times New Roman" w:hAnsi="Times New Roman" w:eastAsia="Times New Roman" w:cs="Times New Roman"/>
      <w:sz w:val="28"/>
      <w:szCs w:val="28"/>
    </w:rPr>
  </w:style>
  <w:style w:type="character" w:styleId="Style18" w:customStyle="1">
    <w:name w:val="Название Знак"/>
    <w:basedOn w:val="DefaultParagraphFont"/>
    <w:qFormat/>
    <w:rsid w:val="00142a65"/>
    <w:rPr>
      <w:rFonts w:ascii="Times New Roman" w:hAnsi="Times New Roman" w:eastAsia="Times New Roman" w:cs="Times New Roman"/>
      <w:b/>
      <w:bCs/>
      <w:sz w:val="28"/>
      <w:szCs w:val="28"/>
    </w:rPr>
  </w:style>
  <w:style w:type="paragraph" w:styleId="Style19">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onsPlusNormal1" w:customStyle="1">
    <w:name w:val="ConsPlusNormal"/>
    <w:link w:val="ConsPlusNormal"/>
    <w:qFormat/>
    <w:rsid w:val="00d96b8b"/>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21">
    <w:name w:val="Колонтитул"/>
    <w:basedOn w:val="Normal"/>
    <w:qFormat/>
    <w:pPr/>
    <w:rPr/>
  </w:style>
  <w:style w:type="paragraph" w:styleId="Header">
    <w:name w:val="Header"/>
    <w:basedOn w:val="Normal"/>
    <w:link w:val="Style13"/>
    <w:uiPriority w:val="99"/>
    <w:unhideWhenUsed/>
    <w:rsid w:val="00d96b8b"/>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semiHidden/>
    <w:unhideWhenUsed/>
    <w:rsid w:val="00d96b8b"/>
    <w:pPr>
      <w:tabs>
        <w:tab w:val="clear" w:pos="708"/>
        <w:tab w:val="center" w:pos="4677" w:leader="none"/>
        <w:tab w:val="right" w:pos="9355" w:leader="none"/>
      </w:tabs>
      <w:spacing w:lineRule="auto" w:line="240" w:before="0" w:after="0"/>
    </w:pPr>
    <w:rPr/>
  </w:style>
  <w:style w:type="paragraph" w:styleId="NormalWeb">
    <w:name w:val="Normal (Web)"/>
    <w:basedOn w:val="Normal"/>
    <w:link w:val="2"/>
    <w:uiPriority w:val="99"/>
    <w:unhideWhenUsed/>
    <w:qFormat/>
    <w:rsid w:val="00d96b8b"/>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link w:val="Style15"/>
    <w:uiPriority w:val="1"/>
    <w:qFormat/>
    <w:rsid w:val="00d96b8b"/>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ListParagraph">
    <w:name w:val="List Paragraph"/>
    <w:basedOn w:val="Normal"/>
    <w:uiPriority w:val="34"/>
    <w:qFormat/>
    <w:rsid w:val="00d96b8b"/>
    <w:pPr>
      <w:spacing w:lineRule="auto" w:line="360" w:before="0" w:after="0"/>
      <w:ind w:firstLine="709" w:left="720"/>
    </w:pPr>
    <w:rPr>
      <w:rFonts w:ascii="Times New Roman" w:hAnsi="Times New Roman" w:eastAsia="Times New Roman" w:cs="Calibri"/>
      <w:sz w:val="28"/>
      <w:lang w:eastAsia="en-US"/>
    </w:rPr>
  </w:style>
  <w:style w:type="paragraph" w:styleId="Default" w:customStyle="1">
    <w:name w:val="Default"/>
    <w:qFormat/>
    <w:rsid w:val="0083285b"/>
    <w:pPr>
      <w:widowControl/>
      <w:suppressAutoHyphens w:val="true"/>
      <w:bidi w:val="0"/>
      <w:spacing w:lineRule="auto" w:line="240" w:before="0" w:after="0"/>
      <w:jc w:val="left"/>
    </w:pPr>
    <w:rPr>
      <w:rFonts w:ascii="Times New Roman" w:hAnsi="Times New Roman" w:eastAsia="" w:cs="Times New Roman"/>
      <w:color w:val="000000"/>
      <w:kern w:val="0"/>
      <w:sz w:val="24"/>
      <w:szCs w:val="24"/>
      <w:lang w:val="ru-RU" w:eastAsia="ru-RU" w:bidi="ar-SA"/>
    </w:rPr>
  </w:style>
  <w:style w:type="paragraph" w:styleId="BalloonText">
    <w:name w:val="Balloon Text"/>
    <w:basedOn w:val="Normal"/>
    <w:link w:val="Style17"/>
    <w:uiPriority w:val="99"/>
    <w:semiHidden/>
    <w:unhideWhenUsed/>
    <w:qFormat/>
    <w:rsid w:val="00ee512b"/>
    <w:pPr>
      <w:spacing w:lineRule="auto" w:line="240" w:before="0" w:after="0"/>
    </w:pPr>
    <w:rPr>
      <w:rFonts w:ascii="Tahoma" w:hAnsi="Tahoma" w:cs="Tahoma"/>
      <w:sz w:val="16"/>
      <w:szCs w:val="16"/>
    </w:rPr>
  </w:style>
  <w:style w:type="paragraph" w:styleId="Title">
    <w:name w:val="Title"/>
    <w:basedOn w:val="Normal"/>
    <w:link w:val="Style18"/>
    <w:qFormat/>
    <w:rsid w:val="00142a65"/>
    <w:pPr>
      <w:spacing w:lineRule="auto" w:line="240" w:before="0" w:after="0"/>
      <w:jc w:val="center"/>
    </w:pPr>
    <w:rPr>
      <w:rFonts w:ascii="Times New Roman" w:hAnsi="Times New Roman" w:eastAsia="Times New Roman" w:cs="Times New Roman"/>
      <w:b/>
      <w:bCs/>
      <w:sz w:val="28"/>
      <w:szCs w:val="28"/>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e">
    <w:name w:val="Table Grid"/>
    <w:basedOn w:val="a1"/>
    <w:uiPriority w:val="59"/>
    <w:rsid w:val="00496f9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FDF1-74D1-443A-A5FA-3C5E58D6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Application>LibreOffice/7.6.2.1$Windows_X86_64 LibreOffice_project/56f7684011345957bbf33a7ee678afaf4d2ba333</Application>
  <AppVersion>15.0000</AppVersion>
  <Pages>42</Pages>
  <Words>7430</Words>
  <Characters>59832</Characters>
  <CharactersWithSpaces>67067</CharactersWithSpaces>
  <Paragraphs>928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2022-03-31T06:34:00Z</dcterms:created>
  <dc:creator>Попова</dc:creator>
  <dc:description/>
  <dc:language>ru-RU</dc:language>
  <cp:lastModifiedBy/>
  <cp:lastPrinted>2024-10-02T14:45:17Z</cp:lastPrinted>
  <dcterms:modified xsi:type="dcterms:W3CDTF">2024-10-02T14:51:39Z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