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DF8" w:rsidRDefault="00242DF8" w:rsidP="00242DF8">
      <w:pPr>
        <w:spacing w:before="100" w:beforeAutospacing="1" w:after="100" w:afterAutospacing="1" w:line="240" w:lineRule="auto"/>
        <w:jc w:val="center"/>
        <w:rPr>
          <w:rFonts w:ascii="Times New Roman" w:eastAsia="Times New Roman" w:hAnsi="Times New Roman" w:cs="Times New Roman"/>
          <w:b/>
          <w:sz w:val="20"/>
          <w:szCs w:val="20"/>
          <w:lang w:eastAsia="ru-RU"/>
        </w:rPr>
      </w:pPr>
    </w:p>
    <w:p w:rsidR="00242DF8" w:rsidRPr="00242DF8" w:rsidRDefault="00242DF8" w:rsidP="00242DF8">
      <w:pPr>
        <w:spacing w:before="100" w:beforeAutospacing="1" w:after="100" w:afterAutospacing="1" w:line="240" w:lineRule="auto"/>
        <w:jc w:val="center"/>
        <w:rPr>
          <w:rFonts w:ascii="Times New Roman" w:eastAsia="Times New Roman" w:hAnsi="Times New Roman" w:cs="Times New Roman"/>
          <w:b/>
          <w:sz w:val="20"/>
          <w:szCs w:val="20"/>
          <w:lang w:eastAsia="ru-RU"/>
        </w:rPr>
      </w:pPr>
      <w:r w:rsidRPr="00242DF8">
        <w:rPr>
          <w:rFonts w:ascii="Times New Roman" w:eastAsia="Times New Roman" w:hAnsi="Times New Roman" w:cs="Times New Roman"/>
          <w:b/>
          <w:sz w:val="20"/>
          <w:szCs w:val="20"/>
          <w:lang w:eastAsia="ru-RU"/>
        </w:rPr>
        <w:t>Извещение о проведении электронного аукциона</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787"/>
        <w:gridCol w:w="5657"/>
      </w:tblGrid>
      <w:tr w:rsidR="00242DF8" w:rsidRPr="00242DF8" w:rsidTr="00242DF8">
        <w:trPr>
          <w:tblCellSpacing w:w="15" w:type="dxa"/>
        </w:trPr>
        <w:tc>
          <w:tcPr>
            <w:tcW w:w="2000" w:type="pct"/>
            <w:vAlign w:val="center"/>
            <w:hideMark/>
          </w:tcPr>
          <w:p w:rsidR="00242DF8" w:rsidRPr="00242DF8" w:rsidRDefault="00242DF8" w:rsidP="00242DF8">
            <w:pPr>
              <w:spacing w:after="0" w:line="240" w:lineRule="auto"/>
              <w:jc w:val="center"/>
              <w:rPr>
                <w:rFonts w:ascii="Times New Roman" w:eastAsia="Times New Roman" w:hAnsi="Times New Roman" w:cs="Times New Roman"/>
                <w:b/>
                <w:bCs/>
                <w:sz w:val="20"/>
                <w:szCs w:val="20"/>
                <w:lang w:eastAsia="ru-RU"/>
              </w:rPr>
            </w:pPr>
          </w:p>
        </w:tc>
        <w:tc>
          <w:tcPr>
            <w:tcW w:w="3000" w:type="pct"/>
            <w:vAlign w:val="center"/>
            <w:hideMark/>
          </w:tcPr>
          <w:p w:rsidR="00242DF8" w:rsidRPr="00242DF8" w:rsidRDefault="00242DF8" w:rsidP="00242DF8">
            <w:pPr>
              <w:spacing w:after="0" w:line="240" w:lineRule="auto"/>
              <w:jc w:val="center"/>
              <w:rPr>
                <w:rFonts w:ascii="Times New Roman" w:eastAsia="Times New Roman" w:hAnsi="Times New Roman" w:cs="Times New Roman"/>
                <w:b/>
                <w:bCs/>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Общая информация</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Номер извещения</w:t>
            </w:r>
          </w:p>
        </w:tc>
        <w:tc>
          <w:tcPr>
            <w:tcW w:w="5539" w:type="dxa"/>
            <w:vAlign w:val="center"/>
            <w:hideMark/>
          </w:tcPr>
          <w:p w:rsidR="00242DF8" w:rsidRPr="00242DF8" w:rsidRDefault="00242DF8" w:rsidP="00242DF8">
            <w:pPr>
              <w:spacing w:after="0" w:line="240" w:lineRule="auto"/>
              <w:jc w:val="center"/>
              <w:rPr>
                <w:rFonts w:ascii="Times New Roman" w:eastAsia="Times New Roman" w:hAnsi="Times New Roman" w:cs="Times New Roman"/>
                <w:b/>
                <w:sz w:val="20"/>
                <w:szCs w:val="20"/>
                <w:u w:val="single"/>
                <w:lang w:eastAsia="ru-RU"/>
              </w:rPr>
            </w:pPr>
            <w:r>
              <w:rPr>
                <w:rFonts w:ascii="Times New Roman" w:eastAsia="Times New Roman" w:hAnsi="Times New Roman" w:cs="Times New Roman"/>
                <w:b/>
                <w:sz w:val="20"/>
                <w:szCs w:val="20"/>
                <w:u w:val="single"/>
                <w:lang w:eastAsia="ru-RU"/>
              </w:rPr>
              <w:t>0131300024318000051</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Наименование объекта закупки</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Сопровождение экземпляров Систем </w:t>
            </w:r>
            <w:proofErr w:type="spellStart"/>
            <w:r w:rsidRPr="00242DF8">
              <w:rPr>
                <w:rFonts w:ascii="Times New Roman" w:eastAsia="Times New Roman" w:hAnsi="Times New Roman" w:cs="Times New Roman"/>
                <w:sz w:val="20"/>
                <w:szCs w:val="20"/>
                <w:lang w:eastAsia="ru-RU"/>
              </w:rPr>
              <w:t>КонсультантПлюс</w:t>
            </w:r>
            <w:proofErr w:type="spellEnd"/>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Способ определения поставщика (подрядчика, исполнителя)</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Электронный аукцион</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Наименование электронной площадки в информационно-телекоммуникационной сети «Интернет»</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ЗАО «Сбербанк-АСТ»</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Адрес электронной площадки в информационно-телекоммуникационной сети «Интернет»</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http://www.sberbank-ast.ru</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Размещение осуществляет</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Заказчик</w:t>
            </w:r>
            <w:r w:rsidRPr="00242DF8">
              <w:rPr>
                <w:rFonts w:ascii="Times New Roman" w:eastAsia="Times New Roman" w:hAnsi="Times New Roman" w:cs="Times New Roman"/>
                <w:sz w:val="20"/>
                <w:szCs w:val="20"/>
                <w:lang w:eastAsia="ru-RU"/>
              </w:rPr>
              <w:br/>
              <w:t>АДМИНИСТРАЦИЯ ПАВЛОВСКОГО МУНИЦИПАЛЬНОГО РАЙОНА ВОРОНЕЖСКОЙ ОБЛАСТИ</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Контактная информация</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Организация, осуществляющая размещение</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АДМИНИСТРАЦИЯ ПАВЛОВСКОГО МУНИЦИПАЛЬНОГО РАЙОНА ВОРОНЕЖСКОЙ ОБЛАСТИ</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Почтовый адрес</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Российская Федерация, 396422, Воронежская </w:t>
            </w:r>
            <w:proofErr w:type="spellStart"/>
            <w:r w:rsidRPr="00242DF8">
              <w:rPr>
                <w:rFonts w:ascii="Times New Roman" w:eastAsia="Times New Roman" w:hAnsi="Times New Roman" w:cs="Times New Roman"/>
                <w:sz w:val="20"/>
                <w:szCs w:val="20"/>
                <w:lang w:eastAsia="ru-RU"/>
              </w:rPr>
              <w:t>обл</w:t>
            </w:r>
            <w:proofErr w:type="spellEnd"/>
            <w:r w:rsidRPr="00242DF8">
              <w:rPr>
                <w:rFonts w:ascii="Times New Roman" w:eastAsia="Times New Roman" w:hAnsi="Times New Roman" w:cs="Times New Roman"/>
                <w:sz w:val="20"/>
                <w:szCs w:val="20"/>
                <w:lang w:eastAsia="ru-RU"/>
              </w:rPr>
              <w:t>, Павловский р-н, Павловск г, ПР-КТ РЕВОЛЮЦИИ, 8</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Место нахождения</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Российская Федерация, 396422, Воронежская </w:t>
            </w:r>
            <w:proofErr w:type="spellStart"/>
            <w:r w:rsidRPr="00242DF8">
              <w:rPr>
                <w:rFonts w:ascii="Times New Roman" w:eastAsia="Times New Roman" w:hAnsi="Times New Roman" w:cs="Times New Roman"/>
                <w:sz w:val="20"/>
                <w:szCs w:val="20"/>
                <w:lang w:eastAsia="ru-RU"/>
              </w:rPr>
              <w:t>обл</w:t>
            </w:r>
            <w:proofErr w:type="spellEnd"/>
            <w:r w:rsidRPr="00242DF8">
              <w:rPr>
                <w:rFonts w:ascii="Times New Roman" w:eastAsia="Times New Roman" w:hAnsi="Times New Roman" w:cs="Times New Roman"/>
                <w:sz w:val="20"/>
                <w:szCs w:val="20"/>
                <w:lang w:eastAsia="ru-RU"/>
              </w:rPr>
              <w:t>, Павловский р-н, Павловск г, ПР-КТ РЕВОЛЮЦИИ, 8</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Ответственное должностное лицо</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Бурцева Светлана Юрьевна</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Адрес электронной почты</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zakupkipavl@govvrn.ru</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Номер контактного телефона</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7-47362-24856</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Факс</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7-47362-25627</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Дополнительная информация</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Информация отсутствует</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Информация о процедуре закупки</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Дата и время начала подачи заявок</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Информация отсутствует</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Дата и время окончания подачи заявок</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16.04.2018 09:00</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Место подачи заявок</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http:// www.sberbank-ast.ru / </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Порядок подачи заявок</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в соответствии с документацией об электронном аукционе</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Дата окончания срока рассмотрения первых частей заявок участников</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17.04.2018</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Дата проведения аукциона в электронной форме</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20.04.2018</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Дополнительная информация</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Информация отсутствует</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 xml:space="preserve">Условия контракта </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Начальная (максимальная) цена контракта</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274871.44 Российский рубль</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Источник финансирования</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Бюджет Павловского муниципального района</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Идентификационный код закупки</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183362000141936200100100050016209242</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Место доставки товара, выполнения работы или оказания услуги</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Российская Федерация, Воронежская </w:t>
            </w:r>
            <w:proofErr w:type="spellStart"/>
            <w:r w:rsidRPr="00242DF8">
              <w:rPr>
                <w:rFonts w:ascii="Times New Roman" w:eastAsia="Times New Roman" w:hAnsi="Times New Roman" w:cs="Times New Roman"/>
                <w:sz w:val="20"/>
                <w:szCs w:val="20"/>
                <w:lang w:eastAsia="ru-RU"/>
              </w:rPr>
              <w:t>обл</w:t>
            </w:r>
            <w:proofErr w:type="spellEnd"/>
            <w:r w:rsidRPr="00242DF8">
              <w:rPr>
                <w:rFonts w:ascii="Times New Roman" w:eastAsia="Times New Roman" w:hAnsi="Times New Roman" w:cs="Times New Roman"/>
                <w:sz w:val="20"/>
                <w:szCs w:val="20"/>
                <w:lang w:eastAsia="ru-RU"/>
              </w:rPr>
              <w:t>, Павловский р-н, пр. Революции. 8. (Администрация Павловского муниципального района)</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Сроки поставки товара или завершения работы либо график оказания услуг</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с даты заключения муниципального контракта по 31.12.2018 г</w:t>
            </w:r>
          </w:p>
        </w:tc>
      </w:tr>
      <w:tr w:rsidR="00242DF8" w:rsidRPr="00242DF8" w:rsidTr="00242DF8">
        <w:trPr>
          <w:tblCellSpacing w:w="15" w:type="dxa"/>
        </w:trPr>
        <w:tc>
          <w:tcPr>
            <w:tcW w:w="9384" w:type="dxa"/>
            <w:gridSpan w:val="2"/>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Объект закупки</w:t>
            </w:r>
          </w:p>
        </w:tc>
      </w:tr>
      <w:tr w:rsidR="00242DF8" w:rsidRPr="00242DF8" w:rsidTr="00242DF8">
        <w:trPr>
          <w:tblCellSpacing w:w="15" w:type="dxa"/>
        </w:trPr>
        <w:tc>
          <w:tcPr>
            <w:tcW w:w="9384" w:type="dxa"/>
            <w:gridSpan w:val="2"/>
            <w:vAlign w:val="center"/>
            <w:hideMark/>
          </w:tcPr>
          <w:p w:rsidR="00242DF8" w:rsidRPr="00242DF8" w:rsidRDefault="00242DF8" w:rsidP="00242DF8">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Российский рубль</w:t>
            </w:r>
          </w:p>
        </w:tc>
      </w:tr>
      <w:tr w:rsidR="00242DF8" w:rsidRPr="00242DF8" w:rsidTr="00242DF8">
        <w:trPr>
          <w:tblCellSpacing w:w="15" w:type="dxa"/>
        </w:trPr>
        <w:tc>
          <w:tcPr>
            <w:tcW w:w="9384" w:type="dxa"/>
            <w:gridSpan w:val="2"/>
            <w:vAlign w:val="center"/>
            <w:hideMark/>
          </w:tcPr>
          <w:tbl>
            <w:tblPr>
              <w:tblW w:w="938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127"/>
              <w:gridCol w:w="918"/>
              <w:gridCol w:w="881"/>
              <w:gridCol w:w="850"/>
              <w:gridCol w:w="851"/>
              <w:gridCol w:w="845"/>
              <w:gridCol w:w="878"/>
              <w:gridCol w:w="970"/>
              <w:gridCol w:w="1066"/>
            </w:tblGrid>
            <w:tr w:rsidR="00242DF8" w:rsidRPr="00242DF8" w:rsidTr="00242DF8">
              <w:trPr>
                <w:tblCellSpacing w:w="15" w:type="dxa"/>
              </w:trPr>
              <w:tc>
                <w:tcPr>
                  <w:tcW w:w="2082" w:type="dxa"/>
                  <w:vMerge w:val="restart"/>
                  <w:vAlign w:val="center"/>
                  <w:hideMark/>
                </w:tcPr>
                <w:p w:rsidR="00242DF8" w:rsidRPr="00242DF8" w:rsidRDefault="00242DF8" w:rsidP="00242DF8">
                  <w:pPr>
                    <w:spacing w:after="0" w:line="240" w:lineRule="auto"/>
                    <w:jc w:val="center"/>
                    <w:rPr>
                      <w:rFonts w:ascii="Times New Roman" w:eastAsia="Times New Roman" w:hAnsi="Times New Roman" w:cs="Times New Roman"/>
                      <w:bCs/>
                      <w:sz w:val="20"/>
                      <w:szCs w:val="20"/>
                      <w:lang w:eastAsia="ru-RU"/>
                    </w:rPr>
                  </w:pPr>
                  <w:r w:rsidRPr="00242DF8">
                    <w:rPr>
                      <w:rFonts w:ascii="Times New Roman" w:eastAsia="Times New Roman" w:hAnsi="Times New Roman" w:cs="Times New Roman"/>
                      <w:bCs/>
                      <w:sz w:val="20"/>
                      <w:szCs w:val="20"/>
                      <w:lang w:eastAsia="ru-RU"/>
                    </w:rPr>
                    <w:t>Наименование товара, работы, услуги</w:t>
                  </w:r>
                </w:p>
              </w:tc>
              <w:tc>
                <w:tcPr>
                  <w:tcW w:w="888" w:type="dxa"/>
                  <w:vMerge w:val="restart"/>
                  <w:vAlign w:val="center"/>
                  <w:hideMark/>
                </w:tcPr>
                <w:p w:rsidR="00242DF8" w:rsidRPr="00242DF8" w:rsidRDefault="00242DF8" w:rsidP="00242DF8">
                  <w:pPr>
                    <w:spacing w:after="0" w:line="240" w:lineRule="auto"/>
                    <w:jc w:val="center"/>
                    <w:rPr>
                      <w:rFonts w:ascii="Times New Roman" w:eastAsia="Times New Roman" w:hAnsi="Times New Roman" w:cs="Times New Roman"/>
                      <w:bCs/>
                      <w:sz w:val="20"/>
                      <w:szCs w:val="20"/>
                      <w:lang w:eastAsia="ru-RU"/>
                    </w:rPr>
                  </w:pPr>
                  <w:r w:rsidRPr="00242DF8">
                    <w:rPr>
                      <w:rFonts w:ascii="Times New Roman" w:eastAsia="Times New Roman" w:hAnsi="Times New Roman" w:cs="Times New Roman"/>
                      <w:bCs/>
                      <w:sz w:val="20"/>
                      <w:szCs w:val="20"/>
                      <w:lang w:eastAsia="ru-RU"/>
                    </w:rPr>
                    <w:t>Код позиции КТРУ</w:t>
                  </w:r>
                </w:p>
              </w:tc>
              <w:tc>
                <w:tcPr>
                  <w:tcW w:w="2552" w:type="dxa"/>
                  <w:gridSpan w:val="3"/>
                  <w:vAlign w:val="center"/>
                  <w:hideMark/>
                </w:tcPr>
                <w:p w:rsidR="00242DF8" w:rsidRPr="00242DF8" w:rsidRDefault="00242DF8" w:rsidP="00242DF8">
                  <w:pPr>
                    <w:spacing w:after="0" w:line="240" w:lineRule="auto"/>
                    <w:jc w:val="center"/>
                    <w:rPr>
                      <w:rFonts w:ascii="Times New Roman" w:eastAsia="Times New Roman" w:hAnsi="Times New Roman" w:cs="Times New Roman"/>
                      <w:b/>
                      <w:bCs/>
                      <w:sz w:val="20"/>
                      <w:szCs w:val="20"/>
                      <w:lang w:eastAsia="ru-RU"/>
                    </w:rPr>
                  </w:pPr>
                  <w:r w:rsidRPr="00242DF8">
                    <w:rPr>
                      <w:rFonts w:ascii="Times New Roman" w:eastAsia="Times New Roman" w:hAnsi="Times New Roman" w:cs="Times New Roman"/>
                      <w:b/>
                      <w:bCs/>
                      <w:sz w:val="20"/>
                      <w:szCs w:val="20"/>
                      <w:lang w:eastAsia="ru-RU"/>
                    </w:rPr>
                    <w:t>Характеристики товара, работы, услуги</w:t>
                  </w:r>
                </w:p>
              </w:tc>
              <w:tc>
                <w:tcPr>
                  <w:tcW w:w="815" w:type="dxa"/>
                  <w:vMerge w:val="restart"/>
                  <w:vAlign w:val="center"/>
                  <w:hideMark/>
                </w:tcPr>
                <w:p w:rsidR="00242DF8" w:rsidRPr="00242DF8" w:rsidRDefault="00242DF8" w:rsidP="00242DF8">
                  <w:pPr>
                    <w:spacing w:after="0" w:line="240" w:lineRule="auto"/>
                    <w:jc w:val="center"/>
                    <w:rPr>
                      <w:rFonts w:ascii="Times New Roman" w:eastAsia="Times New Roman" w:hAnsi="Times New Roman" w:cs="Times New Roman"/>
                      <w:b/>
                      <w:bCs/>
                      <w:sz w:val="20"/>
                      <w:szCs w:val="20"/>
                      <w:lang w:eastAsia="ru-RU"/>
                    </w:rPr>
                  </w:pPr>
                  <w:r w:rsidRPr="00242DF8">
                    <w:rPr>
                      <w:rFonts w:ascii="Times New Roman" w:eastAsia="Times New Roman" w:hAnsi="Times New Roman" w:cs="Times New Roman"/>
                      <w:b/>
                      <w:bCs/>
                      <w:sz w:val="20"/>
                      <w:szCs w:val="20"/>
                      <w:lang w:eastAsia="ru-RU"/>
                    </w:rPr>
                    <w:t>Единица измерения</w:t>
                  </w:r>
                </w:p>
              </w:tc>
              <w:tc>
                <w:tcPr>
                  <w:tcW w:w="848" w:type="dxa"/>
                  <w:vMerge w:val="restart"/>
                  <w:vAlign w:val="center"/>
                  <w:hideMark/>
                </w:tcPr>
                <w:p w:rsidR="00242DF8" w:rsidRPr="00242DF8" w:rsidRDefault="00242DF8" w:rsidP="00242DF8">
                  <w:pPr>
                    <w:spacing w:after="0" w:line="240" w:lineRule="auto"/>
                    <w:jc w:val="center"/>
                    <w:rPr>
                      <w:rFonts w:ascii="Times New Roman" w:eastAsia="Times New Roman" w:hAnsi="Times New Roman" w:cs="Times New Roman"/>
                      <w:bCs/>
                      <w:sz w:val="20"/>
                      <w:szCs w:val="20"/>
                      <w:lang w:eastAsia="ru-RU"/>
                    </w:rPr>
                  </w:pPr>
                  <w:r w:rsidRPr="00242DF8">
                    <w:rPr>
                      <w:rFonts w:ascii="Times New Roman" w:eastAsia="Times New Roman" w:hAnsi="Times New Roman" w:cs="Times New Roman"/>
                      <w:bCs/>
                      <w:sz w:val="20"/>
                      <w:szCs w:val="20"/>
                      <w:lang w:eastAsia="ru-RU"/>
                    </w:rPr>
                    <w:t>Количество</w:t>
                  </w:r>
                </w:p>
              </w:tc>
              <w:tc>
                <w:tcPr>
                  <w:tcW w:w="940" w:type="dxa"/>
                  <w:vMerge w:val="restart"/>
                  <w:vAlign w:val="center"/>
                  <w:hideMark/>
                </w:tcPr>
                <w:p w:rsidR="00242DF8" w:rsidRPr="00242DF8" w:rsidRDefault="00242DF8" w:rsidP="00242DF8">
                  <w:pPr>
                    <w:spacing w:after="0" w:line="240" w:lineRule="auto"/>
                    <w:jc w:val="center"/>
                    <w:rPr>
                      <w:rFonts w:ascii="Times New Roman" w:eastAsia="Times New Roman" w:hAnsi="Times New Roman" w:cs="Times New Roman"/>
                      <w:bCs/>
                      <w:sz w:val="20"/>
                      <w:szCs w:val="20"/>
                      <w:lang w:eastAsia="ru-RU"/>
                    </w:rPr>
                  </w:pPr>
                  <w:r w:rsidRPr="00242DF8">
                    <w:rPr>
                      <w:rFonts w:ascii="Times New Roman" w:eastAsia="Times New Roman" w:hAnsi="Times New Roman" w:cs="Times New Roman"/>
                      <w:bCs/>
                      <w:sz w:val="20"/>
                      <w:szCs w:val="20"/>
                      <w:lang w:eastAsia="ru-RU"/>
                    </w:rPr>
                    <w:t xml:space="preserve">Цена за </w:t>
                  </w:r>
                  <w:proofErr w:type="spellStart"/>
                  <w:r w:rsidRPr="00242DF8">
                    <w:rPr>
                      <w:rFonts w:ascii="Times New Roman" w:eastAsia="Times New Roman" w:hAnsi="Times New Roman" w:cs="Times New Roman"/>
                      <w:bCs/>
                      <w:sz w:val="20"/>
                      <w:szCs w:val="20"/>
                      <w:lang w:eastAsia="ru-RU"/>
                    </w:rPr>
                    <w:t>ед.изм</w:t>
                  </w:r>
                  <w:proofErr w:type="spellEnd"/>
                  <w:r w:rsidRPr="00242DF8">
                    <w:rPr>
                      <w:rFonts w:ascii="Times New Roman" w:eastAsia="Times New Roman" w:hAnsi="Times New Roman" w:cs="Times New Roman"/>
                      <w:bCs/>
                      <w:sz w:val="20"/>
                      <w:szCs w:val="20"/>
                      <w:lang w:eastAsia="ru-RU"/>
                    </w:rPr>
                    <w:t>.</w:t>
                  </w:r>
                </w:p>
              </w:tc>
              <w:tc>
                <w:tcPr>
                  <w:tcW w:w="1021" w:type="dxa"/>
                  <w:vMerge w:val="restart"/>
                  <w:vAlign w:val="center"/>
                  <w:hideMark/>
                </w:tcPr>
                <w:p w:rsidR="00242DF8" w:rsidRPr="00242DF8" w:rsidRDefault="00242DF8" w:rsidP="00242DF8">
                  <w:pPr>
                    <w:spacing w:after="0" w:line="240" w:lineRule="auto"/>
                    <w:jc w:val="center"/>
                    <w:rPr>
                      <w:rFonts w:ascii="Times New Roman" w:eastAsia="Times New Roman" w:hAnsi="Times New Roman" w:cs="Times New Roman"/>
                      <w:bCs/>
                      <w:sz w:val="20"/>
                      <w:szCs w:val="20"/>
                      <w:lang w:eastAsia="ru-RU"/>
                    </w:rPr>
                  </w:pPr>
                  <w:r w:rsidRPr="00242DF8">
                    <w:rPr>
                      <w:rFonts w:ascii="Times New Roman" w:eastAsia="Times New Roman" w:hAnsi="Times New Roman" w:cs="Times New Roman"/>
                      <w:bCs/>
                      <w:sz w:val="20"/>
                      <w:szCs w:val="20"/>
                      <w:lang w:eastAsia="ru-RU"/>
                    </w:rPr>
                    <w:t>Стоимость</w:t>
                  </w:r>
                </w:p>
              </w:tc>
            </w:tr>
            <w:tr w:rsidR="00242DF8" w:rsidRPr="00242DF8" w:rsidTr="00242DF8">
              <w:trPr>
                <w:tblCellSpacing w:w="15" w:type="dxa"/>
              </w:trPr>
              <w:tc>
                <w:tcPr>
                  <w:tcW w:w="2082" w:type="dxa"/>
                  <w:vMerge/>
                  <w:vAlign w:val="center"/>
                  <w:hideMark/>
                </w:tcPr>
                <w:p w:rsidR="00242DF8" w:rsidRPr="00242DF8" w:rsidRDefault="00242DF8" w:rsidP="00242DF8">
                  <w:pPr>
                    <w:spacing w:after="0" w:line="240" w:lineRule="auto"/>
                    <w:rPr>
                      <w:rFonts w:ascii="Times New Roman" w:eastAsia="Times New Roman" w:hAnsi="Times New Roman" w:cs="Times New Roman"/>
                      <w:b/>
                      <w:bCs/>
                      <w:sz w:val="20"/>
                      <w:szCs w:val="20"/>
                      <w:lang w:eastAsia="ru-RU"/>
                    </w:rPr>
                  </w:pPr>
                </w:p>
              </w:tc>
              <w:tc>
                <w:tcPr>
                  <w:tcW w:w="888" w:type="dxa"/>
                  <w:vMerge/>
                  <w:vAlign w:val="center"/>
                  <w:hideMark/>
                </w:tcPr>
                <w:p w:rsidR="00242DF8" w:rsidRPr="00242DF8" w:rsidRDefault="00242DF8" w:rsidP="00242DF8">
                  <w:pPr>
                    <w:spacing w:after="0" w:line="240" w:lineRule="auto"/>
                    <w:rPr>
                      <w:rFonts w:ascii="Times New Roman" w:eastAsia="Times New Roman" w:hAnsi="Times New Roman" w:cs="Times New Roman"/>
                      <w:b/>
                      <w:bCs/>
                      <w:sz w:val="20"/>
                      <w:szCs w:val="20"/>
                      <w:lang w:eastAsia="ru-RU"/>
                    </w:rPr>
                  </w:pPr>
                </w:p>
              </w:tc>
              <w:tc>
                <w:tcPr>
                  <w:tcW w:w="851" w:type="dxa"/>
                  <w:vAlign w:val="center"/>
                  <w:hideMark/>
                </w:tcPr>
                <w:p w:rsidR="00242DF8" w:rsidRPr="00242DF8" w:rsidRDefault="00242DF8" w:rsidP="00242DF8">
                  <w:pPr>
                    <w:spacing w:after="0" w:line="240" w:lineRule="auto"/>
                    <w:jc w:val="center"/>
                    <w:rPr>
                      <w:rFonts w:ascii="Times New Roman" w:eastAsia="Times New Roman" w:hAnsi="Times New Roman" w:cs="Times New Roman"/>
                      <w:b/>
                      <w:bCs/>
                      <w:sz w:val="20"/>
                      <w:szCs w:val="20"/>
                      <w:lang w:eastAsia="ru-RU"/>
                    </w:rPr>
                  </w:pPr>
                  <w:r w:rsidRPr="00242DF8">
                    <w:rPr>
                      <w:rFonts w:ascii="Times New Roman" w:eastAsia="Times New Roman" w:hAnsi="Times New Roman" w:cs="Times New Roman"/>
                      <w:b/>
                      <w:bCs/>
                      <w:sz w:val="20"/>
                      <w:szCs w:val="20"/>
                      <w:lang w:eastAsia="ru-RU"/>
                    </w:rPr>
                    <w:t>Наименование характеристики</w:t>
                  </w:r>
                </w:p>
              </w:tc>
              <w:tc>
                <w:tcPr>
                  <w:tcW w:w="820" w:type="dxa"/>
                  <w:vAlign w:val="center"/>
                  <w:hideMark/>
                </w:tcPr>
                <w:p w:rsidR="00242DF8" w:rsidRPr="00242DF8" w:rsidRDefault="00242DF8" w:rsidP="00242DF8">
                  <w:pPr>
                    <w:spacing w:after="0" w:line="240" w:lineRule="auto"/>
                    <w:jc w:val="center"/>
                    <w:rPr>
                      <w:rFonts w:ascii="Times New Roman" w:eastAsia="Times New Roman" w:hAnsi="Times New Roman" w:cs="Times New Roman"/>
                      <w:b/>
                      <w:bCs/>
                      <w:sz w:val="20"/>
                      <w:szCs w:val="20"/>
                      <w:lang w:eastAsia="ru-RU"/>
                    </w:rPr>
                  </w:pPr>
                  <w:r w:rsidRPr="00242DF8">
                    <w:rPr>
                      <w:rFonts w:ascii="Times New Roman" w:eastAsia="Times New Roman" w:hAnsi="Times New Roman" w:cs="Times New Roman"/>
                      <w:b/>
                      <w:bCs/>
                      <w:sz w:val="20"/>
                      <w:szCs w:val="20"/>
                      <w:lang w:eastAsia="ru-RU"/>
                    </w:rPr>
                    <w:t>Значение характеристики</w:t>
                  </w:r>
                </w:p>
              </w:tc>
              <w:tc>
                <w:tcPr>
                  <w:tcW w:w="821" w:type="dxa"/>
                  <w:vAlign w:val="center"/>
                  <w:hideMark/>
                </w:tcPr>
                <w:p w:rsidR="00242DF8" w:rsidRPr="00242DF8" w:rsidRDefault="00242DF8" w:rsidP="00242DF8">
                  <w:pPr>
                    <w:spacing w:after="0" w:line="240" w:lineRule="auto"/>
                    <w:jc w:val="center"/>
                    <w:rPr>
                      <w:rFonts w:ascii="Times New Roman" w:eastAsia="Times New Roman" w:hAnsi="Times New Roman" w:cs="Times New Roman"/>
                      <w:b/>
                      <w:bCs/>
                      <w:sz w:val="20"/>
                      <w:szCs w:val="20"/>
                      <w:lang w:eastAsia="ru-RU"/>
                    </w:rPr>
                  </w:pPr>
                  <w:r w:rsidRPr="00242DF8">
                    <w:rPr>
                      <w:rFonts w:ascii="Times New Roman" w:eastAsia="Times New Roman" w:hAnsi="Times New Roman" w:cs="Times New Roman"/>
                      <w:b/>
                      <w:bCs/>
                      <w:sz w:val="20"/>
                      <w:szCs w:val="20"/>
                      <w:lang w:eastAsia="ru-RU"/>
                    </w:rPr>
                    <w:t>Единица измерения характеристики</w:t>
                  </w:r>
                </w:p>
              </w:tc>
              <w:tc>
                <w:tcPr>
                  <w:tcW w:w="815" w:type="dxa"/>
                  <w:vMerge/>
                  <w:vAlign w:val="center"/>
                  <w:hideMark/>
                </w:tcPr>
                <w:p w:rsidR="00242DF8" w:rsidRPr="00242DF8" w:rsidRDefault="00242DF8" w:rsidP="00242DF8">
                  <w:pPr>
                    <w:spacing w:after="0" w:line="240" w:lineRule="auto"/>
                    <w:rPr>
                      <w:rFonts w:ascii="Times New Roman" w:eastAsia="Times New Roman" w:hAnsi="Times New Roman" w:cs="Times New Roman"/>
                      <w:b/>
                      <w:bCs/>
                      <w:sz w:val="20"/>
                      <w:szCs w:val="20"/>
                      <w:lang w:eastAsia="ru-RU"/>
                    </w:rPr>
                  </w:pPr>
                </w:p>
              </w:tc>
              <w:tc>
                <w:tcPr>
                  <w:tcW w:w="848" w:type="dxa"/>
                  <w:vMerge/>
                  <w:vAlign w:val="center"/>
                  <w:hideMark/>
                </w:tcPr>
                <w:p w:rsidR="00242DF8" w:rsidRPr="00242DF8" w:rsidRDefault="00242DF8" w:rsidP="00242DF8">
                  <w:pPr>
                    <w:spacing w:after="0" w:line="240" w:lineRule="auto"/>
                    <w:rPr>
                      <w:rFonts w:ascii="Times New Roman" w:eastAsia="Times New Roman" w:hAnsi="Times New Roman" w:cs="Times New Roman"/>
                      <w:b/>
                      <w:bCs/>
                      <w:sz w:val="20"/>
                      <w:szCs w:val="20"/>
                      <w:lang w:eastAsia="ru-RU"/>
                    </w:rPr>
                  </w:pPr>
                </w:p>
              </w:tc>
              <w:tc>
                <w:tcPr>
                  <w:tcW w:w="940" w:type="dxa"/>
                  <w:vMerge/>
                  <w:vAlign w:val="center"/>
                  <w:hideMark/>
                </w:tcPr>
                <w:p w:rsidR="00242DF8" w:rsidRPr="00242DF8" w:rsidRDefault="00242DF8" w:rsidP="00242DF8">
                  <w:pPr>
                    <w:spacing w:after="0" w:line="240" w:lineRule="auto"/>
                    <w:rPr>
                      <w:rFonts w:ascii="Times New Roman" w:eastAsia="Times New Roman" w:hAnsi="Times New Roman" w:cs="Times New Roman"/>
                      <w:b/>
                      <w:bCs/>
                      <w:sz w:val="20"/>
                      <w:szCs w:val="20"/>
                      <w:lang w:eastAsia="ru-RU"/>
                    </w:rPr>
                  </w:pPr>
                </w:p>
              </w:tc>
              <w:tc>
                <w:tcPr>
                  <w:tcW w:w="1021" w:type="dxa"/>
                  <w:vMerge/>
                  <w:vAlign w:val="center"/>
                  <w:hideMark/>
                </w:tcPr>
                <w:p w:rsidR="00242DF8" w:rsidRPr="00242DF8" w:rsidRDefault="00242DF8" w:rsidP="00242DF8">
                  <w:pPr>
                    <w:spacing w:after="0" w:line="240" w:lineRule="auto"/>
                    <w:rPr>
                      <w:rFonts w:ascii="Times New Roman" w:eastAsia="Times New Roman" w:hAnsi="Times New Roman" w:cs="Times New Roman"/>
                      <w:b/>
                      <w:bCs/>
                      <w:sz w:val="20"/>
                      <w:szCs w:val="20"/>
                      <w:lang w:eastAsia="ru-RU"/>
                    </w:rPr>
                  </w:pPr>
                </w:p>
              </w:tc>
            </w:tr>
            <w:tr w:rsidR="00242DF8" w:rsidRPr="00242DF8" w:rsidTr="00242DF8">
              <w:trPr>
                <w:tblCellSpacing w:w="15" w:type="dxa"/>
              </w:trPr>
              <w:tc>
                <w:tcPr>
                  <w:tcW w:w="2082"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Услуги по технической </w:t>
                  </w:r>
                  <w:r w:rsidRPr="00242DF8">
                    <w:rPr>
                      <w:rFonts w:ascii="Times New Roman" w:eastAsia="Times New Roman" w:hAnsi="Times New Roman" w:cs="Times New Roman"/>
                      <w:sz w:val="20"/>
                      <w:szCs w:val="20"/>
                      <w:lang w:eastAsia="ru-RU"/>
                    </w:rPr>
                    <w:lastRenderedPageBreak/>
                    <w:t>поддержке в области информационных технологий прочие, не включенные в другие группировки</w:t>
                  </w:r>
                </w:p>
              </w:tc>
              <w:tc>
                <w:tcPr>
                  <w:tcW w:w="888"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lastRenderedPageBreak/>
                    <w:t>62.09.20.</w:t>
                  </w:r>
                  <w:r w:rsidRPr="00242DF8">
                    <w:rPr>
                      <w:rFonts w:ascii="Times New Roman" w:eastAsia="Times New Roman" w:hAnsi="Times New Roman" w:cs="Times New Roman"/>
                      <w:sz w:val="20"/>
                      <w:szCs w:val="20"/>
                      <w:lang w:eastAsia="ru-RU"/>
                    </w:rPr>
                    <w:lastRenderedPageBreak/>
                    <w:t>190</w:t>
                  </w:r>
                </w:p>
              </w:tc>
              <w:tc>
                <w:tcPr>
                  <w:tcW w:w="2552" w:type="dxa"/>
                  <w:gridSpan w:val="3"/>
                  <w:vAlign w:val="center"/>
                  <w:hideMark/>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10"/>
                  </w:tblGrid>
                  <w:tr w:rsidR="00242DF8" w:rsidRPr="00242DF8" w:rsidTr="00242DF8">
                    <w:trPr>
                      <w:tblCellSpacing w:w="15" w:type="dxa"/>
                    </w:trPr>
                    <w:tc>
                      <w:tcPr>
                        <w:tcW w:w="36"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bl>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c>
                <w:tcPr>
                  <w:tcW w:w="815"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УСЛ ЕД</w:t>
                  </w:r>
                </w:p>
              </w:tc>
              <w:tc>
                <w:tcPr>
                  <w:tcW w:w="848"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1.00</w:t>
                  </w:r>
                </w:p>
              </w:tc>
              <w:tc>
                <w:tcPr>
                  <w:tcW w:w="940"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274871.44</w:t>
                  </w:r>
                </w:p>
              </w:tc>
              <w:tc>
                <w:tcPr>
                  <w:tcW w:w="1021"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274871.44</w:t>
                  </w:r>
                </w:p>
              </w:tc>
            </w:tr>
          </w:tbl>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9384" w:type="dxa"/>
            <w:gridSpan w:val="2"/>
            <w:vAlign w:val="center"/>
            <w:hideMark/>
          </w:tcPr>
          <w:p w:rsidR="00242DF8" w:rsidRPr="00242DF8" w:rsidRDefault="00242DF8" w:rsidP="00242DF8">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lastRenderedPageBreak/>
              <w:t>Итого: 274871.44</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Преимущества и требования к участникам</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Преимущества</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Не установлены</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Требования к участникам</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1 Единые требования к участникам (в соответствии с частью 1 Статьи 31 Федерального закона № 44-ФЗ) </w:t>
            </w:r>
          </w:p>
          <w:p w:rsidR="00C92CF7" w:rsidRDefault="00C92CF7" w:rsidP="00242DF8">
            <w:pPr>
              <w:spacing w:before="100" w:beforeAutospacing="1" w:after="100" w:afterAutospacing="1" w:line="240" w:lineRule="auto"/>
              <w:rPr>
                <w:rFonts w:ascii="Times New Roman" w:eastAsia="Times New Roman" w:hAnsi="Times New Roman" w:cs="Times New Roman"/>
                <w:sz w:val="20"/>
                <w:szCs w:val="20"/>
                <w:lang w:eastAsia="ru-RU"/>
              </w:rPr>
            </w:pPr>
          </w:p>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Дополнительная информация к требованию отсутствует</w:t>
            </w:r>
          </w:p>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2 Требования к участникам закупок в соответствии с частью 1.1 статьи 31 Федерального закона № 44-ФЗ </w:t>
            </w:r>
          </w:p>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Дополнительная информация к требованию отсутствует</w:t>
            </w:r>
          </w:p>
        </w:tc>
      </w:tr>
      <w:tr w:rsidR="00242DF8" w:rsidRPr="00242DF8" w:rsidTr="00242DF8">
        <w:trPr>
          <w:tblCellSpacing w:w="15" w:type="dxa"/>
        </w:trPr>
        <w:tc>
          <w:tcPr>
            <w:tcW w:w="3815" w:type="dxa"/>
            <w:vAlign w:val="center"/>
            <w:hideMark/>
          </w:tcPr>
          <w:p w:rsidR="007474FA" w:rsidRDefault="007474FA" w:rsidP="00242DF8">
            <w:pPr>
              <w:spacing w:before="100" w:beforeAutospacing="1" w:after="100" w:afterAutospacing="1" w:line="240" w:lineRule="auto"/>
              <w:rPr>
                <w:rFonts w:ascii="Times New Roman" w:eastAsia="Times New Roman" w:hAnsi="Times New Roman" w:cs="Times New Roman"/>
                <w:sz w:val="20"/>
                <w:szCs w:val="20"/>
                <w:lang w:eastAsia="ru-RU"/>
              </w:rPr>
            </w:pPr>
          </w:p>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Ограничения и запреты</w:t>
            </w:r>
          </w:p>
        </w:tc>
        <w:tc>
          <w:tcPr>
            <w:tcW w:w="5539" w:type="dxa"/>
            <w:vAlign w:val="center"/>
            <w:hideMark/>
          </w:tcPr>
          <w:p w:rsidR="00C92CF7"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1 Закупка у субъектов малого предпринимательства и социально ориентированных некоммерческих организаций </w:t>
            </w:r>
          </w:p>
          <w:p w:rsidR="007474FA" w:rsidRPr="00242DF8" w:rsidRDefault="007474FA" w:rsidP="00242DF8">
            <w:pPr>
              <w:spacing w:before="100" w:beforeAutospacing="1" w:after="100" w:afterAutospacing="1" w:line="240" w:lineRule="auto"/>
              <w:rPr>
                <w:rFonts w:ascii="Times New Roman" w:eastAsia="Times New Roman" w:hAnsi="Times New Roman" w:cs="Times New Roman"/>
                <w:sz w:val="20"/>
                <w:szCs w:val="20"/>
                <w:lang w:eastAsia="ru-RU"/>
              </w:rPr>
            </w:pPr>
            <w:bookmarkStart w:id="0" w:name="_GoBack"/>
            <w:bookmarkEnd w:id="0"/>
          </w:p>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Дополнительная информация к ограничению отсутствует</w:t>
            </w:r>
          </w:p>
        </w:tc>
      </w:tr>
      <w:tr w:rsidR="00242DF8" w:rsidRPr="00242DF8" w:rsidTr="00242DF8">
        <w:trPr>
          <w:tblCellSpacing w:w="15" w:type="dxa"/>
        </w:trPr>
        <w:tc>
          <w:tcPr>
            <w:tcW w:w="3815" w:type="dxa"/>
            <w:vAlign w:val="center"/>
            <w:hideMark/>
          </w:tcPr>
          <w:p w:rsidR="00C92CF7" w:rsidRDefault="00C92CF7" w:rsidP="00242DF8">
            <w:pPr>
              <w:spacing w:before="100" w:beforeAutospacing="1" w:after="100" w:afterAutospacing="1" w:line="240" w:lineRule="auto"/>
              <w:rPr>
                <w:rFonts w:ascii="Times New Roman" w:eastAsia="Times New Roman" w:hAnsi="Times New Roman" w:cs="Times New Roman"/>
                <w:b/>
                <w:bCs/>
                <w:sz w:val="20"/>
                <w:szCs w:val="20"/>
                <w:lang w:eastAsia="ru-RU"/>
              </w:rPr>
            </w:pPr>
          </w:p>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Обеспечение заявок</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Требуется обеспечение заявок</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Размер обеспечения заявок</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2748.71</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Порядок внесения денежных средств в качестве обеспечения заявок</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в соответствии с документацией об электронном аукционе</w:t>
            </w:r>
          </w:p>
        </w:tc>
      </w:tr>
      <w:tr w:rsidR="00242DF8" w:rsidRPr="00242DF8" w:rsidTr="00242DF8">
        <w:trPr>
          <w:tblCellSpacing w:w="15" w:type="dxa"/>
        </w:trPr>
        <w:tc>
          <w:tcPr>
            <w:tcW w:w="3815"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Платежные реквизиты для перечисления денежных средств при уклонении участника закупки от заключения контракта </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"Номер расчётного счёта" 40302810045253000141</w:t>
            </w:r>
          </w:p>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"Номер лицевого счёта" 05313022560</w:t>
            </w:r>
          </w:p>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"БИК" 042007001</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Обеспечение исполнения контракта</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Требуется обеспечение исполнения контракта</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Размер обеспечения исполнения контракта</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13743.57</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5539" w:type="dxa"/>
            <w:vAlign w:val="center"/>
            <w:hideMark/>
          </w:tcPr>
          <w:p w:rsidR="00242DF8" w:rsidRPr="00242DF8" w:rsidRDefault="00242DF8" w:rsidP="00242DF8">
            <w:pPr>
              <w:spacing w:before="100" w:beforeAutospacing="1" w:after="100" w:afterAutospacing="1" w:line="240" w:lineRule="auto"/>
              <w:jc w:val="both"/>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Обеспечение исполнения контракта может быть представлено в виде: а) безотзывной банковской гарантии выданной банком и соответствующей требованиям ст.45 Федерального закона от 05.04.2013г. № 44-ФЗ «О контрактной системе в сфере закупок товаров, работ, услуг для обеспечения государственных и муниципальных нужд». Срок действия банковской гарантии должен превышать срок действия контракта не менее чем на один месяц. Банковская гарантия должна включать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б) внесения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Контракт заключается после предоставления участником закупки, с которым заключается контракт, обеспечения исполнения контракта. В случае не предоставления участником закупки, с которым заключается контракт, обеспечения исполнения контракта в срок, </w:t>
            </w:r>
            <w:r w:rsidRPr="00242DF8">
              <w:rPr>
                <w:rFonts w:ascii="Times New Roman" w:eastAsia="Times New Roman" w:hAnsi="Times New Roman" w:cs="Times New Roman"/>
                <w:sz w:val="20"/>
                <w:szCs w:val="20"/>
                <w:lang w:eastAsia="ru-RU"/>
              </w:rPr>
              <w:lastRenderedPageBreak/>
              <w:t xml:space="preserve">установленный для заключения контракта, такой участник считается уклонившимся от заключения контракта.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tc>
      </w:tr>
      <w:tr w:rsidR="00242DF8" w:rsidRPr="00242DF8" w:rsidTr="00242DF8">
        <w:trPr>
          <w:tblCellSpacing w:w="15" w:type="dxa"/>
        </w:trPr>
        <w:tc>
          <w:tcPr>
            <w:tcW w:w="3815"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lastRenderedPageBreak/>
              <w:t>Платежные реквизиты для обеспечения исполнения контракта</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"Номер расчётного счёта" 40302810045253000141</w:t>
            </w:r>
          </w:p>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"Номер лицевого счёта" 05313022560</w:t>
            </w:r>
          </w:p>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"БИК" 042007001</w:t>
            </w:r>
          </w:p>
        </w:tc>
      </w:tr>
      <w:tr w:rsidR="00242DF8" w:rsidRPr="00242DF8" w:rsidTr="00242DF8">
        <w:trPr>
          <w:tblCellSpacing w:w="15" w:type="dxa"/>
        </w:trPr>
        <w:tc>
          <w:tcPr>
            <w:tcW w:w="3815"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Дополнительная информация</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Информация отсутствует</w:t>
            </w:r>
          </w:p>
        </w:tc>
      </w:tr>
      <w:tr w:rsidR="00242DF8" w:rsidRPr="00242DF8" w:rsidTr="00242DF8">
        <w:trPr>
          <w:tblCellSpacing w:w="15" w:type="dxa"/>
        </w:trPr>
        <w:tc>
          <w:tcPr>
            <w:tcW w:w="9384" w:type="dxa"/>
            <w:gridSpan w:val="2"/>
            <w:vAlign w:val="center"/>
            <w:hideMark/>
          </w:tcPr>
          <w:p w:rsidR="00242DF8" w:rsidRPr="00242DF8" w:rsidRDefault="00242DF8" w:rsidP="00242DF8">
            <w:pPr>
              <w:spacing w:before="100" w:beforeAutospacing="1" w:after="100" w:afterAutospacing="1" w:line="240" w:lineRule="auto"/>
              <w:jc w:val="both"/>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242DF8" w:rsidRPr="00242DF8" w:rsidTr="00242DF8">
        <w:trPr>
          <w:tblCellSpacing w:w="15" w:type="dxa"/>
        </w:trPr>
        <w:tc>
          <w:tcPr>
            <w:tcW w:w="3815"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b/>
                <w:bCs/>
                <w:sz w:val="20"/>
                <w:szCs w:val="20"/>
                <w:lang w:eastAsia="ru-RU"/>
              </w:rPr>
              <w:t>Перечень прикрепленных документов</w:t>
            </w:r>
          </w:p>
        </w:tc>
        <w:tc>
          <w:tcPr>
            <w:tcW w:w="5539" w:type="dxa"/>
            <w:vAlign w:val="center"/>
            <w:hideMark/>
          </w:tcPr>
          <w:p w:rsidR="00242DF8" w:rsidRPr="00242DF8" w:rsidRDefault="00242DF8" w:rsidP="00242DF8">
            <w:pPr>
              <w:spacing w:before="100" w:beforeAutospacing="1" w:after="100" w:afterAutospacing="1" w:line="240" w:lineRule="auto"/>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1 для публикации</w:t>
            </w:r>
          </w:p>
        </w:tc>
      </w:tr>
      <w:tr w:rsidR="00242DF8" w:rsidRPr="00242DF8" w:rsidTr="00242DF8">
        <w:trPr>
          <w:tblCellSpacing w:w="15" w:type="dxa"/>
        </w:trPr>
        <w:tc>
          <w:tcPr>
            <w:tcW w:w="3815" w:type="dxa"/>
            <w:vAlign w:val="center"/>
            <w:hideMark/>
          </w:tcPr>
          <w:p w:rsidR="00242DF8" w:rsidRPr="00242DF8" w:rsidRDefault="00242DF8" w:rsidP="00242DF8">
            <w:pPr>
              <w:spacing w:before="100" w:beforeAutospacing="1" w:after="100" w:afterAutospacing="1" w:line="240" w:lineRule="auto"/>
              <w:jc w:val="both"/>
              <w:rPr>
                <w:rFonts w:ascii="Times New Roman" w:eastAsia="Times New Roman" w:hAnsi="Times New Roman" w:cs="Times New Roman"/>
                <w:sz w:val="20"/>
                <w:szCs w:val="20"/>
                <w:lang w:eastAsia="ru-RU"/>
              </w:rPr>
            </w:pPr>
            <w:r w:rsidRPr="00242DF8">
              <w:rPr>
                <w:rFonts w:ascii="Times New Roman" w:eastAsia="Times New Roman" w:hAnsi="Times New Roman" w:cs="Times New Roman"/>
                <w:sz w:val="20"/>
                <w:szCs w:val="20"/>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5539" w:type="dxa"/>
            <w:vAlign w:val="center"/>
            <w:hideMark/>
          </w:tcPr>
          <w:p w:rsidR="00242DF8" w:rsidRPr="00242DF8" w:rsidRDefault="00242DF8" w:rsidP="00242DF8">
            <w:pPr>
              <w:spacing w:after="0" w:line="240" w:lineRule="auto"/>
              <w:rPr>
                <w:rFonts w:ascii="Times New Roman" w:eastAsia="Times New Roman" w:hAnsi="Times New Roman" w:cs="Times New Roman"/>
                <w:sz w:val="20"/>
                <w:szCs w:val="20"/>
                <w:lang w:eastAsia="ru-RU"/>
              </w:rPr>
            </w:pPr>
          </w:p>
        </w:tc>
      </w:tr>
    </w:tbl>
    <w:p w:rsidR="001F14C5" w:rsidRPr="00242DF8" w:rsidRDefault="001F14C5">
      <w:pPr>
        <w:rPr>
          <w:rFonts w:ascii="Times New Roman" w:hAnsi="Times New Roman" w:cs="Times New Roman"/>
          <w:sz w:val="20"/>
          <w:szCs w:val="20"/>
        </w:rPr>
      </w:pPr>
    </w:p>
    <w:sectPr w:rsidR="001F14C5" w:rsidRPr="00242DF8" w:rsidSect="00242DF8">
      <w:pgSz w:w="11906" w:h="16838"/>
      <w:pgMar w:top="284"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42DF8"/>
    <w:rsid w:val="001F14C5"/>
    <w:rsid w:val="00242DF8"/>
    <w:rsid w:val="007474FA"/>
    <w:rsid w:val="00C92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AACCCC-C4B0-4991-A135-F1AB2565F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4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rsid w:val="00242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Название объекта1"/>
    <w:basedOn w:val="a"/>
    <w:rsid w:val="00242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242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242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242D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480420">
      <w:bodyDiv w:val="1"/>
      <w:marLeft w:val="0"/>
      <w:marRight w:val="0"/>
      <w:marTop w:val="0"/>
      <w:marBottom w:val="0"/>
      <w:divBdr>
        <w:top w:val="none" w:sz="0" w:space="0" w:color="auto"/>
        <w:left w:val="none" w:sz="0" w:space="0" w:color="auto"/>
        <w:bottom w:val="none" w:sz="0" w:space="0" w:color="auto"/>
        <w:right w:val="none" w:sz="0" w:space="0" w:color="auto"/>
      </w:divBdr>
      <w:divsChild>
        <w:div w:id="1258828796">
          <w:marLeft w:val="0"/>
          <w:marRight w:val="0"/>
          <w:marTop w:val="0"/>
          <w:marBottom w:val="0"/>
          <w:divBdr>
            <w:top w:val="none" w:sz="0" w:space="0" w:color="auto"/>
            <w:left w:val="none" w:sz="0" w:space="0" w:color="auto"/>
            <w:bottom w:val="none" w:sz="0" w:space="0" w:color="auto"/>
            <w:right w:val="none" w:sz="0" w:space="0" w:color="auto"/>
          </w:divBdr>
          <w:divsChild>
            <w:div w:id="1300694355">
              <w:marLeft w:val="0"/>
              <w:marRight w:val="0"/>
              <w:marTop w:val="0"/>
              <w:marBottom w:val="0"/>
              <w:divBdr>
                <w:top w:val="none" w:sz="0" w:space="0" w:color="auto"/>
                <w:left w:val="none" w:sz="0" w:space="0" w:color="auto"/>
                <w:bottom w:val="none" w:sz="0" w:space="0" w:color="auto"/>
                <w:right w:val="none" w:sz="0" w:space="0" w:color="auto"/>
              </w:divBdr>
              <w:divsChild>
                <w:div w:id="1886872141">
                  <w:marLeft w:val="0"/>
                  <w:marRight w:val="0"/>
                  <w:marTop w:val="0"/>
                  <w:marBottom w:val="0"/>
                  <w:divBdr>
                    <w:top w:val="none" w:sz="0" w:space="0" w:color="auto"/>
                    <w:left w:val="none" w:sz="0" w:space="0" w:color="auto"/>
                    <w:bottom w:val="none" w:sz="0" w:space="0" w:color="auto"/>
                    <w:right w:val="none" w:sz="0" w:space="0" w:color="auto"/>
                  </w:divBdr>
                  <w:divsChild>
                    <w:div w:id="1584757321">
                      <w:marLeft w:val="0"/>
                      <w:marRight w:val="0"/>
                      <w:marTop w:val="0"/>
                      <w:marBottom w:val="0"/>
                      <w:divBdr>
                        <w:top w:val="none" w:sz="0" w:space="0" w:color="auto"/>
                        <w:left w:val="none" w:sz="0" w:space="0" w:color="auto"/>
                        <w:bottom w:val="none" w:sz="0" w:space="0" w:color="auto"/>
                        <w:right w:val="none" w:sz="0" w:space="0" w:color="auto"/>
                      </w:divBdr>
                      <w:divsChild>
                        <w:div w:id="54356815">
                          <w:marLeft w:val="0"/>
                          <w:marRight w:val="0"/>
                          <w:marTop w:val="0"/>
                          <w:marBottom w:val="0"/>
                          <w:divBdr>
                            <w:top w:val="none" w:sz="0" w:space="0" w:color="auto"/>
                            <w:left w:val="none" w:sz="0" w:space="0" w:color="auto"/>
                            <w:bottom w:val="none" w:sz="0" w:space="0" w:color="auto"/>
                            <w:right w:val="none" w:sz="0" w:space="0" w:color="auto"/>
                          </w:divBdr>
                          <w:divsChild>
                            <w:div w:id="1447775244">
                              <w:marLeft w:val="0"/>
                              <w:marRight w:val="0"/>
                              <w:marTop w:val="0"/>
                              <w:marBottom w:val="0"/>
                              <w:divBdr>
                                <w:top w:val="none" w:sz="0" w:space="0" w:color="auto"/>
                                <w:left w:val="none" w:sz="0" w:space="0" w:color="auto"/>
                                <w:bottom w:val="none" w:sz="0" w:space="0" w:color="auto"/>
                                <w:right w:val="none" w:sz="0" w:space="0" w:color="auto"/>
                              </w:divBdr>
                              <w:divsChild>
                                <w:div w:id="37689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1011</Words>
  <Characters>5768</Characters>
  <Application>Microsoft Office Word</Application>
  <DocSecurity>0</DocSecurity>
  <Lines>48</Lines>
  <Paragraphs>13</Paragraphs>
  <ScaleCrop>false</ScaleCrop>
  <Company/>
  <LinksUpToDate>false</LinksUpToDate>
  <CharactersWithSpaces>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Алексей Дубовой</cp:lastModifiedBy>
  <cp:revision>3</cp:revision>
  <cp:lastPrinted>2018-04-06T12:22:00Z</cp:lastPrinted>
  <dcterms:created xsi:type="dcterms:W3CDTF">2018-04-06T12:20:00Z</dcterms:created>
  <dcterms:modified xsi:type="dcterms:W3CDTF">2018-04-12T12:10:00Z</dcterms:modified>
</cp:coreProperties>
</file>