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88A" w:rsidRPr="000E388A" w:rsidRDefault="000E388A" w:rsidP="000E38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</w:pPr>
      <w:r w:rsidRPr="000E388A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>Извещение о проведении электронного аукциона</w:t>
      </w:r>
    </w:p>
    <w:tbl>
      <w:tblPr>
        <w:tblW w:w="0" w:type="auto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87"/>
        <w:gridCol w:w="5657"/>
      </w:tblGrid>
      <w:tr w:rsidR="000E388A" w:rsidRPr="000E388A" w:rsidTr="000E388A">
        <w:trPr>
          <w:tblCellSpacing w:w="15" w:type="dxa"/>
        </w:trPr>
        <w:tc>
          <w:tcPr>
            <w:tcW w:w="2000" w:type="pct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Общая информация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извещения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sz w:val="18"/>
                <w:szCs w:val="18"/>
                <w:u w:val="single"/>
                <w:lang w:eastAsia="ru-RU"/>
              </w:rPr>
              <w:t>0131300024318000045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работ по ремонту автомобильных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дорог общего пользования местного значения Павловского муниципального района Воронежской области</w:t>
            </w:r>
            <w:proofErr w:type="gramEnd"/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Электронный аукцион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 «</w:t>
            </w:r>
            <w:proofErr w:type="spell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Сбербанк-АСТ</w:t>
            </w:r>
            <w:proofErr w:type="spell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http://www.sberbank-ast.ru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Размещение осуществляет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</w:t>
            </w: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АДМИНИСТРАЦИЯ ПАВЛОВСКОГО МУНИЦИПАЛЬНОГО РАЙОНА ВОРОНЕЖСКОЙ ОБЛАСТИ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Контактная информация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ПАВЛОВСКОГО МУНИЦИПАЛЬНОГО РАЙОНА ВОРОНЕЖСКОЙ ОБЛАСТИ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Почтовый адрес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нахождения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396422, Воронежская </w:t>
            </w:r>
            <w:proofErr w:type="spellStart"/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Павловский р-н, Павловск г, ПР-КТ РЕВОЛЮЦИИ, 8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Ответственное должностное лицо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Бурцева Светлана Юрьевна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 электронной почты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zakupkipavl@govvrn.ru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Номер контактного телефона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7-47362-24856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Факс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7-47362-25627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Информация о процедуре закупки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начала подачи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и время окончания подачи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16.04.2018 09:00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подачи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 </w:t>
            </w:r>
            <w:proofErr w:type="spell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www.sberbank-ast.ru</w:t>
            </w:r>
            <w:proofErr w:type="spell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подачи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окончания срока рассмотрения первых частей заявок участников</w:t>
            </w:r>
            <w:proofErr w:type="gramEnd"/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19.04.2018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проведения аукциона в электронной форме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23.04.2018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Условия контракта 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2858806.00 Российский рубль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 финансирования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Воронежской области – 2 853 136,00 (Два миллиона восемьсот пятьдесят три тысяч сто тридцать шесть) руб. 00 коп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Бюджет Павловского муниципального района – 5 670,0 (Пять тысяч шестьсот семьдесят) руб. 00 коп 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183362000141936200100100290014211244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Российская Федерация, Воронежская </w:t>
            </w:r>
            <w:proofErr w:type="spellStart"/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</w:t>
            </w:r>
            <w:proofErr w:type="spellEnd"/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Павловский р-н, с. Александровка: ул. Первомайская; с. Александровка: ул. Садовая; с. Александровка: ул. Буденного; с. Петровка: ул. Ленина; с. Михайловка: ул. А.Матросова. 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позднее 45-ти календарных дней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заключения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муниципального контракта. Приложение № 6 «График выполнения работ».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Объект закупки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Российский рубль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tbl>
            <w:tblPr>
              <w:tblW w:w="9356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52"/>
              <w:gridCol w:w="949"/>
              <w:gridCol w:w="836"/>
              <w:gridCol w:w="850"/>
              <w:gridCol w:w="567"/>
              <w:gridCol w:w="819"/>
              <w:gridCol w:w="907"/>
              <w:gridCol w:w="864"/>
              <w:gridCol w:w="1012"/>
            </w:tblGrid>
            <w:tr w:rsidR="000E388A" w:rsidRPr="000E388A" w:rsidTr="000E388A">
              <w:trPr>
                <w:tblCellSpacing w:w="15" w:type="dxa"/>
              </w:trPr>
              <w:tc>
                <w:tcPr>
                  <w:tcW w:w="2507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919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Код позиции КТРУ</w:t>
                  </w:r>
                </w:p>
              </w:tc>
              <w:tc>
                <w:tcPr>
                  <w:tcW w:w="2223" w:type="dxa"/>
                  <w:gridSpan w:val="3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Характеристики товара, работы, услуги</w:t>
                  </w:r>
                </w:p>
              </w:tc>
              <w:tc>
                <w:tcPr>
                  <w:tcW w:w="789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877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834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 xml:space="preserve">Цена за </w:t>
                  </w:r>
                  <w:proofErr w:type="spellStart"/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</w:t>
                  </w:r>
                  <w:proofErr w:type="gramStart"/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.и</w:t>
                  </w:r>
                  <w:proofErr w:type="gramEnd"/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зм</w:t>
                  </w:r>
                  <w:proofErr w:type="spellEnd"/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.</w:t>
                  </w:r>
                </w:p>
              </w:tc>
              <w:tc>
                <w:tcPr>
                  <w:tcW w:w="967" w:type="dxa"/>
                  <w:vMerge w:val="restart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Стоимость</w:t>
                  </w:r>
                </w:p>
              </w:tc>
            </w:tr>
            <w:tr w:rsidR="000E388A" w:rsidRPr="000E388A" w:rsidTr="000E388A">
              <w:trPr>
                <w:tblCellSpacing w:w="15" w:type="dxa"/>
              </w:trPr>
              <w:tc>
                <w:tcPr>
                  <w:tcW w:w="2507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19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06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820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537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  <w:t>Единица измерения характеристики</w:t>
                  </w:r>
                </w:p>
              </w:tc>
              <w:tc>
                <w:tcPr>
                  <w:tcW w:w="789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77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834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67" w:type="dxa"/>
                  <w:vMerge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  <w:tr w:rsidR="000E388A" w:rsidRPr="000E388A" w:rsidTr="000E388A">
              <w:trPr>
                <w:tblCellSpacing w:w="15" w:type="dxa"/>
              </w:trPr>
              <w:tc>
                <w:tcPr>
                  <w:tcW w:w="2507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lastRenderedPageBreak/>
                    <w:t>Работы строительные по строительству автомагистралей, автомобильных дорог, улично-дорожной сети и прочих автомобильных или пешеходных дорог, и взлетно-посадочных полос аэродромов</w:t>
                  </w:r>
                </w:p>
              </w:tc>
              <w:tc>
                <w:tcPr>
                  <w:tcW w:w="919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42.11.20.000</w:t>
                  </w:r>
                </w:p>
              </w:tc>
              <w:tc>
                <w:tcPr>
                  <w:tcW w:w="2223" w:type="dxa"/>
                  <w:gridSpan w:val="3"/>
                  <w:vAlign w:val="center"/>
                  <w:hideMark/>
                </w:tcPr>
                <w:tbl>
                  <w:tblPr>
                    <w:tblW w:w="0" w:type="auto"/>
                    <w:tblCellSpacing w:w="15" w:type="dxa"/>
                    <w:tblLayout w:type="fixed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10"/>
                  </w:tblGrid>
                  <w:tr w:rsidR="000E388A" w:rsidRPr="000E388A" w:rsidTr="000E388A">
                    <w:trPr>
                      <w:tblCellSpacing w:w="15" w:type="dxa"/>
                    </w:trPr>
                    <w:tc>
                      <w:tcPr>
                        <w:tcW w:w="36" w:type="dxa"/>
                        <w:vAlign w:val="center"/>
                        <w:hideMark/>
                      </w:tcPr>
                      <w:p w:rsidR="000E388A" w:rsidRPr="000E388A" w:rsidRDefault="000E388A" w:rsidP="000E388A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8"/>
                            <w:szCs w:val="18"/>
                            <w:lang w:eastAsia="ru-RU"/>
                          </w:rPr>
                        </w:pPr>
                      </w:p>
                    </w:tc>
                  </w:tr>
                </w:tbl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789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 xml:space="preserve">УСЛ </w:t>
                  </w:r>
                  <w:proofErr w:type="gramStart"/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ЕД</w:t>
                  </w:r>
                  <w:proofErr w:type="gramEnd"/>
                </w:p>
              </w:tc>
              <w:tc>
                <w:tcPr>
                  <w:tcW w:w="877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1.00</w:t>
                  </w:r>
                </w:p>
              </w:tc>
              <w:tc>
                <w:tcPr>
                  <w:tcW w:w="834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2858806.00</w:t>
                  </w:r>
                </w:p>
              </w:tc>
              <w:tc>
                <w:tcPr>
                  <w:tcW w:w="967" w:type="dxa"/>
                  <w:vAlign w:val="center"/>
                  <w:hideMark/>
                </w:tcPr>
                <w:p w:rsidR="000E388A" w:rsidRPr="000E388A" w:rsidRDefault="000E388A" w:rsidP="000E38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</w:pPr>
                  <w:r w:rsidRPr="000E388A">
                    <w:rPr>
                      <w:rFonts w:ascii="Times New Roman" w:eastAsia="Times New Roman" w:hAnsi="Times New Roman" w:cs="Times New Roman"/>
                      <w:sz w:val="18"/>
                      <w:szCs w:val="18"/>
                      <w:lang w:eastAsia="ru-RU"/>
                    </w:rPr>
                    <w:t>2858806.00</w:t>
                  </w:r>
                </w:p>
              </w:tc>
            </w:tr>
          </w:tbl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Итого: 2858806.00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Преимущества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Не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установлены</w:t>
            </w:r>
            <w:proofErr w:type="gramEnd"/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Требования к участникам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Единые требования к участникам (в соответствии с частью 1 Статьи 31 Федерального закона № 44-ФЗ) </w:t>
            </w:r>
          </w:p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Требования к участникам закупок в соответствии с частью 1.1 статьи 31 Федерального закона № 44-ФЗ </w:t>
            </w:r>
          </w:p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Ограничения и запреты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Закупка у субъектов малого предпринимательства и социально ориентированных некоммерческих организаций </w:t>
            </w:r>
          </w:p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осуществляется у субъектов малого предпринимательства, социально ориентированных некоммерческих организаций.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28588.06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Порядок внесения денежных сре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в к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ачестве обеспечения заявок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соответствии с документацией об электронном аукционе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перечисления денежных сре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дств пр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 уклонении участника закупки от заключения контракта 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142940.30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Порядок предоставления обеспечения исполнения контракта, требования к обеспечению, информация о банковском сопровождении контракта 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счет, на котором в соответствии с законодательством Российской Федерации учитываются операции со средствами, поступающими заказчику, в том числе в форме вклада (депозита) до момента заключения контракта, в порядке, указанном в п. 34 ОБЩЕЙ ЧАСТИ ДОКУМЕНТАЦИИ ОБ ЭЛЕКТРОННОМ АУКЦИОНЕ.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Срок действия безотзывной банковской гарантии должен не менее чем на один месяц превышать срок действия контракта.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контракта. Денежные средства возвращаются на банковский счет, указанный исполнителем в этом письменном требовании. 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Платежные реквизиты для обеспечения исполнения контракта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расчётного счёта" 40302810045253000141</w:t>
            </w:r>
          </w:p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"Номер лицевого счёта" 05313022560</w:t>
            </w:r>
          </w:p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"БИК" 042007001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Дополнительная информация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Информация отсутствует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9384" w:type="dxa"/>
            <w:gridSpan w:val="2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 соответствии с частью 2 статьи 37 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 если участником закупки, с которым заключается контракт, предложена цена контракта, которая на двадцать пять и более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процентов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ниже начальной (максимальной) цены контракта, контракт заключается только после предоставления таким участником обеспечения исполнения контракта в размере, указанном в части 1 статьи 37 Федерального закона № 44-ФЗ.», или информации, подтверждающей добросовестность такого участника на дату подачи заявки в соответствии с частью 3 статьи 37 Федерального закона № 44-ФЗ. 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Перечень прикрепленных документов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ля публикации</w:t>
            </w:r>
          </w:p>
        </w:tc>
      </w:tr>
      <w:tr w:rsidR="000E388A" w:rsidRPr="000E388A" w:rsidTr="000E388A">
        <w:trPr>
          <w:tblCellSpacing w:w="15" w:type="dxa"/>
        </w:trPr>
        <w:tc>
          <w:tcPr>
            <w:tcW w:w="3766" w:type="dxa"/>
            <w:vAlign w:val="center"/>
            <w:hideMark/>
          </w:tcPr>
          <w:p w:rsidR="000E388A" w:rsidRPr="000E388A" w:rsidRDefault="000E388A" w:rsidP="000E38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подписания печатной формы извещения (соответствует дате направления на контроль по </w:t>
            </w:r>
            <w:proofErr w:type="gramStart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</w:t>
            </w:r>
            <w:proofErr w:type="gramEnd"/>
            <w:r w:rsidRPr="000E388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.5 ст.99 Закона 44-ФЗ либо дате размещения в ЕИС, в случае отсутствия контроля, по местному времени организации, осуществляющей размещение)</w:t>
            </w:r>
          </w:p>
        </w:tc>
        <w:tc>
          <w:tcPr>
            <w:tcW w:w="5588" w:type="dxa"/>
            <w:vAlign w:val="center"/>
            <w:hideMark/>
          </w:tcPr>
          <w:p w:rsidR="000E388A" w:rsidRPr="000E388A" w:rsidRDefault="000E388A" w:rsidP="000E388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8F1367" w:rsidRPr="000E388A" w:rsidRDefault="008F1367">
      <w:pPr>
        <w:rPr>
          <w:sz w:val="18"/>
          <w:szCs w:val="18"/>
        </w:rPr>
      </w:pPr>
    </w:p>
    <w:sectPr w:rsidR="008F1367" w:rsidRPr="000E388A" w:rsidSect="000E388A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388A"/>
    <w:rsid w:val="000E388A"/>
    <w:rsid w:val="008F1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0E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0E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0E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0E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E38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07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05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16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8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83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962</Words>
  <Characters>5487</Characters>
  <Application>Microsoft Office Word</Application>
  <DocSecurity>0</DocSecurity>
  <Lines>45</Lines>
  <Paragraphs>12</Paragraphs>
  <ScaleCrop>false</ScaleCrop>
  <Company/>
  <LinksUpToDate>false</LinksUpToDate>
  <CharactersWithSpaces>6437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2018-04-06T06:37:00Z</cp:lastPrinted>
  <dcterms:created xsi:type="dcterms:W3CDTF">2018-04-06T06:33:00Z</dcterms:created>
  <dcterms:modified xsi:type="dcterms:W3CDTF">2018-04-06T06:41:00Z</dcterms:modified>
</cp:coreProperties>
</file>