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proofErr w:type="gramStart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4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5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</w:t>
      </w:r>
      <w:proofErr w:type="gramEnd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0A0CF2">
              <w:rPr>
                <w:rFonts w:ascii="Times New Roman" w:hAnsi="Times New Roman" w:cs="Times New Roman"/>
              </w:rPr>
              <w:t xml:space="preserve"> </w:t>
            </w:r>
            <w:r w:rsidR="0018656E">
              <w:rPr>
                <w:rFonts w:ascii="Times New Roman" w:hAnsi="Times New Roman" w:cs="Times New Roman"/>
              </w:rPr>
              <w:t>1 599 529,24</w:t>
            </w:r>
            <w:r w:rsidR="005B6EFA">
              <w:rPr>
                <w:rFonts w:ascii="Times New Roman" w:hAnsi="Times New Roman" w:cs="Times New Roman"/>
              </w:rPr>
              <w:t xml:space="preserve"> тыс. </w:t>
            </w:r>
            <w:bookmarkStart w:id="0" w:name="_GoBack"/>
            <w:bookmarkEnd w:id="0"/>
            <w:r w:rsidRPr="001546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18656E">
              <w:rPr>
                <w:rFonts w:ascii="Times New Roman" w:hAnsi="Times New Roman" w:cs="Times New Roman"/>
              </w:rPr>
              <w:t>14 610,42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18656E">
              <w:rPr>
                <w:rFonts w:ascii="Times New Roman" w:hAnsi="Times New Roman" w:cs="Times New Roman"/>
              </w:rPr>
              <w:t>164 685,54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18656E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1 420 233,28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="00543DC6"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r w:rsidR="00543DC6"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BA5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AB747A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225 280,45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AB747A" w:rsidP="0057762F">
            <w:pPr>
              <w:ind w:left="284"/>
              <w:jc w:val="center"/>
            </w:pPr>
            <w:r>
              <w:t>1 365,58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AB747A" w:rsidP="0057762F">
            <w:pPr>
              <w:ind w:left="284"/>
              <w:jc w:val="center"/>
            </w:pPr>
            <w:r>
              <w:t>6 722,31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AB747A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217 192,56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1C712A" w:rsidP="00A80CC1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1)</w:t>
      </w:r>
      <w:r w:rsidR="00BA567C">
        <w:rPr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3D5313">
      <w:pPr>
        <w:pStyle w:val="ad"/>
        <w:spacing w:before="0" w:beforeAutospacing="0" w:after="0" w:afterAutospacing="0"/>
        <w:ind w:left="284" w:firstLine="28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2"/>
        <w:gridCol w:w="7654"/>
      </w:tblGrid>
      <w:tr w:rsidR="00A80CC1" w:rsidRPr="008D6BCF" w:rsidTr="00A80CC1">
        <w:trPr>
          <w:tblCellSpacing w:w="0" w:type="dxa"/>
        </w:trPr>
        <w:tc>
          <w:tcPr>
            <w:tcW w:w="2562" w:type="dxa"/>
          </w:tcPr>
          <w:p w:rsidR="00A80CC1" w:rsidRPr="008D6BCF" w:rsidRDefault="00A80CC1" w:rsidP="00DC5C7B">
            <w:pPr>
              <w:pStyle w:val="ad"/>
              <w:ind w:right="13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654" w:type="dxa"/>
          </w:tcPr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1.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Содержание МКУ  ДО «</w:t>
            </w:r>
            <w:proofErr w:type="gramStart"/>
            <w:r w:rsidRPr="008D6BCF">
              <w:rPr>
                <w:bCs/>
              </w:rPr>
              <w:t>Павловская</w:t>
            </w:r>
            <w:proofErr w:type="gramEnd"/>
            <w:r w:rsidRPr="008D6BCF">
              <w:rPr>
                <w:bCs/>
              </w:rPr>
              <w:t xml:space="preserve"> ДШИ», МКУ ДО «Павловская ДХШ», МКУ ДО «</w:t>
            </w:r>
            <w:proofErr w:type="spellStart"/>
            <w:r w:rsidRPr="008D6BCF">
              <w:rPr>
                <w:bCs/>
              </w:rPr>
              <w:t>Воронцовская</w:t>
            </w:r>
            <w:proofErr w:type="spellEnd"/>
            <w:r w:rsidRPr="008D6BCF">
              <w:rPr>
                <w:bCs/>
              </w:rPr>
              <w:t xml:space="preserve"> ДМШ» и МКУ ДО «</w:t>
            </w:r>
            <w:proofErr w:type="spellStart"/>
            <w:r w:rsidRPr="008D6BCF">
              <w:rPr>
                <w:bCs/>
              </w:rPr>
              <w:t>Лосевская</w:t>
            </w:r>
            <w:proofErr w:type="spellEnd"/>
            <w:r w:rsidRPr="008D6BCF">
              <w:rPr>
                <w:bCs/>
              </w:rPr>
              <w:t xml:space="preserve"> ДМШ»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2.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3.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 xml:space="preserve">Приобретение компьютерной, оргтехники, музыкальных инструментов.  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4.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Строительство, капитальный и текущий ремонт объектов учреждений дополнительного образования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 xml:space="preserve">5.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32D8" w:rsidRDefault="001C712A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3C5E50">
              <w:rPr>
                <w:rFonts w:ascii="Times New Roman" w:hAnsi="Times New Roman" w:cs="Times New Roman"/>
              </w:rPr>
              <w:t>322</w:t>
            </w:r>
            <w:r w:rsidR="00B47C1E">
              <w:rPr>
                <w:rFonts w:ascii="Times New Roman" w:hAnsi="Times New Roman" w:cs="Times New Roman"/>
              </w:rPr>
              <w:t> 915,53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9 171,80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B47C1E">
              <w:rPr>
                <w:rFonts w:ascii="Times New Roman" w:hAnsi="Times New Roman" w:cs="Times New Roman"/>
              </w:rPr>
              <w:t>309 027,78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 xml:space="preserve">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5260D5" w:rsidP="0057762F">
            <w:pPr>
              <w:shd w:val="clear" w:color="auto" w:fill="FFFFFF"/>
              <w:ind w:left="284"/>
              <w:jc w:val="center"/>
            </w:pPr>
            <w:r>
              <w:t>32 792,74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5260D5" w:rsidP="0057762F">
            <w:pPr>
              <w:shd w:val="clear" w:color="auto" w:fill="FFFFFF"/>
              <w:ind w:left="284"/>
              <w:jc w:val="center"/>
            </w:pPr>
            <w:r>
              <w:t>32 792,74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9D0407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proofErr w:type="spellStart"/>
            <w:r w:rsidRPr="008D6BCF">
              <w:rPr>
                <w:color w:val="000000"/>
              </w:rPr>
              <w:t>межпоселенческая</w:t>
            </w:r>
            <w:proofErr w:type="spellEnd"/>
            <w:r w:rsidRPr="008D6BCF">
              <w:rPr>
                <w:color w:val="000000"/>
              </w:rPr>
              <w:t xml:space="preserve">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A80CC1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5260D5">
              <w:rPr>
                <w:rFonts w:ascii="Times New Roman" w:hAnsi="Times New Roman" w:cs="Times New Roman"/>
              </w:rPr>
              <w:t>311 282,31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5260D5">
              <w:rPr>
                <w:rFonts w:ascii="Times New Roman" w:hAnsi="Times New Roman" w:cs="Times New Roman"/>
              </w:rPr>
              <w:t>774,80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5260D5">
              <w:rPr>
                <w:rFonts w:ascii="Times New Roman" w:hAnsi="Times New Roman" w:cs="Times New Roman"/>
              </w:rPr>
              <w:t xml:space="preserve">594,71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BF1B74">
              <w:rPr>
                <w:rFonts w:ascii="Times New Roman" w:hAnsi="Times New Roman" w:cs="Times New Roman"/>
              </w:rPr>
              <w:t>310 137,</w:t>
            </w:r>
            <w:r w:rsidR="005260D5">
              <w:rPr>
                <w:rFonts w:ascii="Times New Roman" w:hAnsi="Times New Roman" w:cs="Times New Roman"/>
              </w:rPr>
              <w:t>58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  <w:r w:rsidR="00080ED8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BF1B74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5260D5" w:rsidP="0057762F">
            <w:pPr>
              <w:shd w:val="clear" w:color="auto" w:fill="FFFFFF"/>
              <w:ind w:left="102"/>
              <w:jc w:val="center"/>
            </w:pPr>
            <w:r>
              <w:t>36 197,71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5260D5" w:rsidP="0057762F">
            <w:pPr>
              <w:ind w:left="284"/>
              <w:jc w:val="center"/>
            </w:pPr>
            <w:r>
              <w:t>165,58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5260D5" w:rsidP="0057762F">
            <w:pPr>
              <w:ind w:left="284"/>
              <w:jc w:val="center"/>
            </w:pPr>
            <w:r>
              <w:t>26,96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5260D5" w:rsidP="0057762F">
            <w:pPr>
              <w:shd w:val="clear" w:color="auto" w:fill="FFFFFF"/>
              <w:ind w:left="284"/>
              <w:jc w:val="center"/>
            </w:pPr>
            <w:r>
              <w:t>36 005,17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9D0407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1866D2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1866D2">
        <w:rPr>
          <w:rStyle w:val="af2"/>
          <w:b w:val="0"/>
          <w:color w:val="000000"/>
          <w:sz w:val="26"/>
          <w:szCs w:val="26"/>
        </w:rPr>
        <w:t xml:space="preserve"> строку «</w:t>
      </w:r>
      <w:r w:rsidR="001866D2">
        <w:rPr>
          <w:color w:val="000000"/>
          <w:sz w:val="26"/>
          <w:szCs w:val="26"/>
        </w:rPr>
        <w:t>Основные мероприятия, входящие в состав подпрограммы» изложить в следующей редакции:</w:t>
      </w:r>
    </w:p>
    <w:p w:rsidR="00E872B5" w:rsidRDefault="00E872B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7796"/>
      </w:tblGrid>
      <w:tr w:rsidR="00E872B5" w:rsidRPr="008D6BCF" w:rsidTr="00E872B5">
        <w:trPr>
          <w:tblCellSpacing w:w="0" w:type="dxa"/>
        </w:trPr>
        <w:tc>
          <w:tcPr>
            <w:tcW w:w="2420" w:type="dxa"/>
          </w:tcPr>
          <w:p w:rsidR="00E872B5" w:rsidRPr="008D6BCF" w:rsidRDefault="00E872B5" w:rsidP="00BA567C">
            <w:pPr>
              <w:pStyle w:val="ad"/>
              <w:ind w:right="123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Основные мероприятия, </w:t>
            </w:r>
            <w:r w:rsidRPr="008D6BCF">
              <w:rPr>
                <w:color w:val="000000"/>
              </w:rPr>
              <w:lastRenderedPageBreak/>
              <w:t>входящие в состав подпрограммы</w:t>
            </w:r>
          </w:p>
        </w:tc>
        <w:tc>
          <w:tcPr>
            <w:tcW w:w="7796" w:type="dxa"/>
          </w:tcPr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 xml:space="preserve">1. Содержание </w:t>
            </w:r>
            <w:r w:rsidRPr="008D6BCF">
              <w:rPr>
                <w:color w:val="000000"/>
              </w:rPr>
              <w:t>МКУК « Централизованная клубная система Павловского муниципального района Воронежской области»</w:t>
            </w:r>
            <w:r w:rsidR="008403F1">
              <w:rPr>
                <w:color w:val="000000"/>
              </w:rPr>
              <w:t>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>2. 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 xml:space="preserve">3. Приобретение компьютерной, оргтехники, </w:t>
            </w:r>
            <w:proofErr w:type="spellStart"/>
            <w:r w:rsidRPr="008D6BCF">
              <w:rPr>
                <w:bCs/>
              </w:rPr>
              <w:t>звукоусилительной</w:t>
            </w:r>
            <w:proofErr w:type="spellEnd"/>
            <w:r w:rsidRPr="008D6BCF">
              <w:rPr>
                <w:bCs/>
              </w:rPr>
              <w:t xml:space="preserve"> аппаратуры, музыкальных инструментов, сценических костюмов и обуви.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4. Повышение энергетической эффективности учреждений культуры.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5. Строительство, капитальный и текущий ремонт</w:t>
            </w:r>
            <w:r>
              <w:rPr>
                <w:bCs/>
              </w:rPr>
              <w:t>, укрепление материально-технической базы</w:t>
            </w:r>
            <w:r w:rsidRPr="008D6BCF">
              <w:rPr>
                <w:bCs/>
              </w:rPr>
              <w:t xml:space="preserve"> объектов культуры Павловского муниципального района Воронежской области.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6. Развитие кинообслуживания.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7. Развитие туризма на территории Павловского муниципального района</w:t>
            </w:r>
            <w:r w:rsidR="005F31D2">
              <w:rPr>
                <w:bCs/>
              </w:rPr>
              <w:t>.</w:t>
            </w:r>
          </w:p>
          <w:p w:rsidR="00E47CD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</w:pPr>
            <w:r w:rsidRPr="008D6BCF">
              <w:t xml:space="preserve">8. </w:t>
            </w:r>
            <w:r w:rsidR="00E47CD5" w:rsidRPr="00E47CD5"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E872B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9.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E872B5" w:rsidRPr="008D6BCF" w:rsidRDefault="00E872B5" w:rsidP="00E872B5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10. Региональный проект «Цифровая культура»</w:t>
            </w:r>
            <w:r w:rsidR="008403F1">
              <w:rPr>
                <w:bCs/>
              </w:rPr>
              <w:t>.</w:t>
            </w:r>
          </w:p>
        </w:tc>
      </w:tr>
    </w:tbl>
    <w:p w:rsidR="00E872B5" w:rsidRDefault="00E872B5" w:rsidP="00E872B5">
      <w:pPr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15F4A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="009D0407">
        <w:rPr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A61CBE">
              <w:rPr>
                <w:rFonts w:ascii="Times New Roman" w:hAnsi="Times New Roman" w:cs="Times New Roman"/>
              </w:rPr>
              <w:t>746 711,70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A61CBE">
              <w:rPr>
                <w:rFonts w:ascii="Times New Roman" w:hAnsi="Times New Roman" w:cs="Times New Roman"/>
              </w:rPr>
              <w:t>9 119,87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A61CBE">
              <w:rPr>
                <w:rFonts w:ascii="Times New Roman" w:hAnsi="Times New Roman" w:cs="Times New Roman"/>
              </w:rPr>
              <w:t>154 919,03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A61CBE">
              <w:rPr>
                <w:rFonts w:ascii="Times New Roman" w:hAnsi="Times New Roman" w:cs="Times New Roman"/>
              </w:rPr>
              <w:t>582 672,80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A61CBE" w:rsidP="0057762F">
            <w:pPr>
              <w:shd w:val="clear" w:color="auto" w:fill="FFFFFF"/>
              <w:ind w:left="102"/>
              <w:jc w:val="center"/>
            </w:pPr>
            <w:r>
              <w:t>103 364,03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61CBE" w:rsidP="0057762F">
            <w:pPr>
              <w:ind w:left="284"/>
              <w:jc w:val="center"/>
            </w:pPr>
            <w:r>
              <w:t>1 200,0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A61CBE" w:rsidP="0057762F">
            <w:pPr>
              <w:ind w:left="284"/>
              <w:jc w:val="center"/>
            </w:pPr>
            <w:r>
              <w:t>6 695,35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A61CBE" w:rsidP="0057762F">
            <w:pPr>
              <w:shd w:val="clear" w:color="auto" w:fill="FFFFFF"/>
              <w:ind w:left="284"/>
              <w:jc w:val="center"/>
            </w:pPr>
            <w:r>
              <w:t>95 468,68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DC5C7B" w:rsidRDefault="00222627" w:rsidP="00DC5C7B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1)</w:t>
      </w:r>
      <w:r w:rsidR="009D0407">
        <w:rPr>
          <w:bCs/>
          <w:sz w:val="26"/>
          <w:szCs w:val="26"/>
        </w:rPr>
        <w:t xml:space="preserve"> </w:t>
      </w:r>
      <w:r w:rsidR="00DC5C7B">
        <w:rPr>
          <w:rStyle w:val="af2"/>
          <w:b w:val="0"/>
          <w:color w:val="000000"/>
          <w:sz w:val="26"/>
          <w:szCs w:val="26"/>
        </w:rPr>
        <w:t>строку</w:t>
      </w:r>
      <w:r w:rsidR="00DB1440">
        <w:rPr>
          <w:rStyle w:val="af2"/>
          <w:b w:val="0"/>
          <w:color w:val="000000"/>
          <w:sz w:val="26"/>
          <w:szCs w:val="26"/>
        </w:rPr>
        <w:t xml:space="preserve"> </w:t>
      </w:r>
      <w:r>
        <w:rPr>
          <w:rStyle w:val="af2"/>
          <w:b w:val="0"/>
          <w:color w:val="000000"/>
          <w:sz w:val="26"/>
          <w:szCs w:val="26"/>
        </w:rPr>
        <w:t>«</w:t>
      </w:r>
      <w:r w:rsidR="00DC5C7B">
        <w:rPr>
          <w:color w:val="000000"/>
          <w:sz w:val="26"/>
          <w:szCs w:val="26"/>
        </w:rPr>
        <w:t>Основные мероприятия, входящие в состав подпрограммы</w:t>
      </w:r>
      <w:r w:rsidR="00DC5C7B" w:rsidRPr="00EC2465">
        <w:rPr>
          <w:color w:val="000000"/>
          <w:sz w:val="26"/>
          <w:szCs w:val="26"/>
        </w:rPr>
        <w:t>» изложить в следующей редакции:</w:t>
      </w:r>
    </w:p>
    <w:p w:rsidR="00DC5C7B" w:rsidRDefault="00DC5C7B" w:rsidP="00DC5C7B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314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4"/>
        <w:gridCol w:w="7540"/>
      </w:tblGrid>
      <w:tr w:rsidR="00E27FBA" w:rsidRPr="008D6BCF" w:rsidTr="00E27FBA">
        <w:trPr>
          <w:trHeight w:val="2262"/>
          <w:tblCellSpacing w:w="0" w:type="dxa"/>
        </w:trPr>
        <w:tc>
          <w:tcPr>
            <w:tcW w:w="2774" w:type="dxa"/>
          </w:tcPr>
          <w:p w:rsidR="00E27FBA" w:rsidRPr="008D6BCF" w:rsidRDefault="00E27FBA" w:rsidP="00BA567C">
            <w:pPr>
              <w:pStyle w:val="ad"/>
              <w:ind w:right="69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40" w:type="dxa"/>
          </w:tcPr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 обеспечение деятельности муниципального отдела по культуре и межнациональным вопросам администрации Павловского муниципального района Воронежской области</w:t>
            </w:r>
            <w:r w:rsidR="008403F1">
              <w:rPr>
                <w:color w:val="000000"/>
              </w:rPr>
              <w:t>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</w:t>
            </w:r>
            <w:r w:rsidR="00DB1440">
              <w:rPr>
                <w:color w:val="000000"/>
              </w:rPr>
              <w:t xml:space="preserve"> </w:t>
            </w:r>
            <w:r w:rsidRPr="008D6BCF">
              <w:rPr>
                <w:color w:val="000000"/>
              </w:rPr>
              <w:t>обеспечение выполнения прочих расходных обязательств Павловского муниципального района органами местного самоуправления.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t>деятельности МКУ «Центр организации деятельности учреждений культуры»</w:t>
            </w:r>
            <w:r w:rsidR="008403F1">
              <w:rPr>
                <w:color w:val="000000"/>
              </w:rPr>
              <w:t>.</w:t>
            </w:r>
          </w:p>
        </w:tc>
      </w:tr>
    </w:tbl>
    <w:p w:rsidR="00E27FBA" w:rsidRDefault="00E27FBA" w:rsidP="00E27FBA">
      <w:pPr>
        <w:ind w:left="284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».</w:t>
      </w:r>
    </w:p>
    <w:p w:rsidR="00543DC6" w:rsidRDefault="00222627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2)</w:t>
      </w:r>
      <w:r w:rsidR="009D0407">
        <w:rPr>
          <w:bCs/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F04153">
              <w:rPr>
                <w:rFonts w:ascii="Times New Roman" w:hAnsi="Times New Roman" w:cs="Times New Roman"/>
              </w:rPr>
              <w:t>218 395,12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F04153">
              <w:rPr>
                <w:rFonts w:ascii="Times New Roman" w:hAnsi="Times New Roman" w:cs="Times New Roman"/>
              </w:rPr>
              <w:t xml:space="preserve">218 395,12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DB1440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DB1440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B1440" w:rsidP="00D615DC">
            <w:pPr>
              <w:shd w:val="clear" w:color="auto" w:fill="FFFFFF"/>
              <w:ind w:left="284"/>
            </w:pPr>
            <w:r>
              <w:t xml:space="preserve">                </w:t>
            </w:r>
            <w:r w:rsidR="00D615DC"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F04153" w:rsidP="00A20451">
            <w:pPr>
              <w:shd w:val="clear" w:color="auto" w:fill="FFFFFF"/>
              <w:ind w:left="284"/>
              <w:jc w:val="center"/>
            </w:pPr>
            <w:r>
              <w:t>52 925,97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F04153" w:rsidP="0057762F">
            <w:pPr>
              <w:shd w:val="clear" w:color="auto" w:fill="FFFFFF"/>
              <w:ind w:left="284"/>
              <w:jc w:val="center"/>
            </w:pPr>
            <w:r>
              <w:t>52 925,97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EC1CDC">
        <w:rPr>
          <w:rStyle w:val="30"/>
          <w:rFonts w:ascii="Times New Roman" w:hAnsi="Times New Roman" w:cs="Times New Roman"/>
          <w:b w:val="0"/>
          <w:bCs w:val="0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927E8C" w:rsidRDefault="00EC1CDC" w:rsidP="00F507CC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507CC"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0930F9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</w:p>
    <w:p w:rsidR="0048733A" w:rsidRDefault="005D3592" w:rsidP="000930F9">
      <w:pPr>
        <w:tabs>
          <w:tab w:val="left" w:pos="8222"/>
        </w:tabs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0930F9">
      <w:pPr>
        <w:tabs>
          <w:tab w:val="left" w:pos="8222"/>
        </w:tabs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 w:rsidR="000930F9">
        <w:rPr>
          <w:rStyle w:val="30"/>
          <w:rFonts w:ascii="Times New Roman" w:hAnsi="Times New Roman" w:cs="Times New Roman"/>
          <w:b w:val="0"/>
          <w:bCs w:val="0"/>
        </w:rPr>
        <w:t xml:space="preserve">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М.Н. </w:t>
      </w:r>
      <w:proofErr w:type="spellStart"/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proofErr w:type="spellEnd"/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8E6B63" w:rsidRDefault="008E6B63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E3044" w:rsidRDefault="00EE304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Заместитель главы администрации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                       </w:t>
      </w:r>
      <w:r>
        <w:rPr>
          <w:sz w:val="26"/>
          <w:szCs w:val="26"/>
        </w:rPr>
        <w:t xml:space="preserve">     </w:t>
      </w:r>
      <w:r w:rsidRPr="001E43BA">
        <w:rPr>
          <w:sz w:val="26"/>
          <w:szCs w:val="26"/>
        </w:rPr>
        <w:t xml:space="preserve">      </w:t>
      </w:r>
      <w:r w:rsidR="001131E4">
        <w:rPr>
          <w:sz w:val="26"/>
          <w:szCs w:val="26"/>
        </w:rPr>
        <w:t xml:space="preserve">           </w:t>
      </w:r>
      <w:r w:rsidRPr="001E43B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</w:t>
      </w:r>
      <w:r w:rsidRPr="001E43BA">
        <w:rPr>
          <w:sz w:val="26"/>
          <w:szCs w:val="26"/>
        </w:rPr>
        <w:t xml:space="preserve">  Л.В. Якушева</w:t>
      </w:r>
      <w:r w:rsidRPr="009631EF">
        <w:rPr>
          <w:sz w:val="26"/>
          <w:szCs w:val="26"/>
        </w:rPr>
        <w:t xml:space="preserve"> </w:t>
      </w: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Ю.В. </w:t>
      </w:r>
      <w:proofErr w:type="spellStart"/>
      <w:r>
        <w:rPr>
          <w:sz w:val="26"/>
          <w:szCs w:val="26"/>
        </w:rPr>
        <w:t>Чечурина</w:t>
      </w:r>
      <w:proofErr w:type="spellEnd"/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  </w:t>
      </w:r>
      <w:r>
        <w:rPr>
          <w:sz w:val="26"/>
          <w:szCs w:val="26"/>
        </w:rPr>
        <w:t xml:space="preserve">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BF684E">
        <w:rPr>
          <w:sz w:val="26"/>
          <w:szCs w:val="26"/>
        </w:rPr>
        <w:t xml:space="preserve">    А.Г. </w:t>
      </w:r>
      <w:proofErr w:type="gramStart"/>
      <w:r w:rsidRPr="00BF684E">
        <w:rPr>
          <w:sz w:val="26"/>
          <w:szCs w:val="26"/>
        </w:rPr>
        <w:t>Хабаров</w:t>
      </w:r>
      <w:proofErr w:type="gramEnd"/>
    </w:p>
    <w:p w:rsidR="000930F9" w:rsidRDefault="000930F9" w:rsidP="000930F9">
      <w:pPr>
        <w:rPr>
          <w:sz w:val="26"/>
          <w:szCs w:val="26"/>
          <w:highlight w:val="green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Руководитель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муниципального района             </w:t>
      </w:r>
      <w:r>
        <w:rPr>
          <w:sz w:val="26"/>
          <w:szCs w:val="26"/>
        </w:rPr>
        <w:t xml:space="preserve">                                          </w:t>
      </w:r>
      <w:r w:rsidRPr="001E43BA">
        <w:rPr>
          <w:sz w:val="26"/>
          <w:szCs w:val="26"/>
        </w:rPr>
        <w:t xml:space="preserve">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Ю.С. </w:t>
      </w:r>
      <w:proofErr w:type="spellStart"/>
      <w:r>
        <w:rPr>
          <w:sz w:val="26"/>
          <w:szCs w:val="26"/>
        </w:rPr>
        <w:t>Жиляева</w:t>
      </w:r>
      <w:proofErr w:type="spellEnd"/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культуре и </w:t>
      </w:r>
      <w:proofErr w:type="gramStart"/>
      <w:r w:rsidRPr="001E43BA">
        <w:rPr>
          <w:sz w:val="26"/>
          <w:szCs w:val="26"/>
        </w:rPr>
        <w:t>межнациональным</w:t>
      </w:r>
      <w:proofErr w:type="gramEnd"/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Pr="001E43BA">
        <w:rPr>
          <w:sz w:val="26"/>
          <w:szCs w:val="26"/>
        </w:rPr>
        <w:t xml:space="preserve">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99" w:rsidRDefault="00547399" w:rsidP="00FC62FC">
      <w:r>
        <w:separator/>
      </w:r>
    </w:p>
  </w:endnote>
  <w:endnote w:type="continuationSeparator" w:id="0">
    <w:p w:rsidR="00547399" w:rsidRDefault="00547399" w:rsidP="00FC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99" w:rsidRDefault="00547399" w:rsidP="00FC62FC">
      <w:r>
        <w:separator/>
      </w:r>
    </w:p>
  </w:footnote>
  <w:footnote w:type="continuationSeparator" w:id="0">
    <w:p w:rsidR="00547399" w:rsidRDefault="00547399" w:rsidP="00FC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56E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146"/>
    <w:rsid w:val="003612E4"/>
    <w:rsid w:val="003640FC"/>
    <w:rsid w:val="00364A94"/>
    <w:rsid w:val="003652C0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5E50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13DF2"/>
    <w:rsid w:val="00520C1B"/>
    <w:rsid w:val="00521DE8"/>
    <w:rsid w:val="00522387"/>
    <w:rsid w:val="00523D14"/>
    <w:rsid w:val="00525A53"/>
    <w:rsid w:val="005260D5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47399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5977"/>
    <w:rsid w:val="00595EF6"/>
    <w:rsid w:val="005967A6"/>
    <w:rsid w:val="00596CD2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B6EFA"/>
    <w:rsid w:val="005C12D6"/>
    <w:rsid w:val="005C1E81"/>
    <w:rsid w:val="005C216D"/>
    <w:rsid w:val="005C526D"/>
    <w:rsid w:val="005C5DE3"/>
    <w:rsid w:val="005C7A79"/>
    <w:rsid w:val="005D1C03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2D80"/>
    <w:rsid w:val="00A53A66"/>
    <w:rsid w:val="00A53CE7"/>
    <w:rsid w:val="00A542F9"/>
    <w:rsid w:val="00A55F89"/>
    <w:rsid w:val="00A5779C"/>
    <w:rsid w:val="00A61CBE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B747A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C1E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5607"/>
    <w:rsid w:val="00D25FEC"/>
    <w:rsid w:val="00D3359F"/>
    <w:rsid w:val="00D33D2D"/>
    <w:rsid w:val="00D363AD"/>
    <w:rsid w:val="00D36784"/>
    <w:rsid w:val="00D36880"/>
    <w:rsid w:val="00D378DD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1CDC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04153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48B8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0DA25-415A-4A2C-8462-319A09D2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ЗамГлавБух</cp:lastModifiedBy>
  <cp:revision>33</cp:revision>
  <cp:lastPrinted>2024-02-07T12:58:00Z</cp:lastPrinted>
  <dcterms:created xsi:type="dcterms:W3CDTF">2023-12-12T14:14:00Z</dcterms:created>
  <dcterms:modified xsi:type="dcterms:W3CDTF">2024-02-07T12:58:00Z</dcterms:modified>
</cp:coreProperties>
</file>