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ConsPlusNonformat"/>
        <w:jc w:val="center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 администрации Павловского муниципального района Воронежской области от  06.08.2013 №583 «Об установлении тарифов на услуги, оказываемые МУП «Павловский рынок», в Павловском муниципальном районе Воронежской области</w:t>
      </w:r>
      <w:bookmarkStart w:id="1" w:name="_Hlk57709302_Копия_1"/>
    </w:p>
    <w:p>
      <w:pPr>
        <w:pStyle w:val="ConsPlusNonforma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7709302"/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16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4 </w:t>
      </w:r>
      <w:r>
        <w:rPr>
          <w:rFonts w:cs="Times New Roman" w:ascii="Times New Roman" w:hAnsi="Times New Roman"/>
          <w:sz w:val="24"/>
          <w:szCs w:val="24"/>
        </w:rPr>
        <w:t>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bookmarkStart w:id="3" w:name="_Hlk57709302"/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  <w:bookmarkEnd w:id="1"/>
      <w:bookmarkEnd w:id="3"/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Table">
    <w:name w:val="Normal Table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LibreOffice/7.6.2.1$Windows_X86_64 LibreOffice_project/56f7684011345957bbf33a7ee678afaf4d2ba333</Application>
  <AppVersion>15.0000</AppVersion>
  <Pages>3</Pages>
  <Words>614</Words>
  <Characters>7291</Characters>
  <CharactersWithSpaces>7799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2024-09-17T12:09:51Z</cp:lastPrinted>
  <dcterms:modified xsi:type="dcterms:W3CDTF">2024-09-17T12:10:28Z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