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C51D5B">
        <w:rPr>
          <w:rFonts w:ascii="Times New Roman" w:hAnsi="Times New Roman"/>
          <w:sz w:val="26"/>
          <w:szCs w:val="26"/>
        </w:rPr>
        <w:t xml:space="preserve">                  Приложение № 2</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A159C0" w:rsidP="00C67B77">
            <w:pPr>
              <w:ind w:firstLine="0"/>
              <w:jc w:val="center"/>
              <w:rPr>
                <w:rFonts w:ascii="Times New Roman" w:hAnsi="Times New Roman"/>
              </w:rPr>
            </w:pPr>
            <w:r>
              <w:rPr>
                <w:rFonts w:ascii="Times New Roman" w:hAnsi="Times New Roman"/>
              </w:rPr>
              <w:t>на 2024</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A159C0" w:rsidP="00117EF9">
            <w:pPr>
              <w:ind w:firstLine="0"/>
              <w:rPr>
                <w:rFonts w:ascii="Times New Roman" w:hAnsi="Times New Roman"/>
                <w:bCs/>
              </w:rPr>
            </w:pPr>
            <w:r>
              <w:rPr>
                <w:rFonts w:ascii="Times New Roman" w:hAnsi="Times New Roman"/>
                <w:color w:val="000000"/>
                <w:lang w:eastAsia="en-US"/>
              </w:rPr>
              <w:t>38 450,18</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A159C0" w:rsidP="00B96D06">
            <w:pPr>
              <w:ind w:firstLine="0"/>
              <w:jc w:val="center"/>
              <w:rPr>
                <w:rFonts w:ascii="Times New Roman" w:hAnsi="Times New Roman"/>
                <w:bCs/>
              </w:rPr>
            </w:pPr>
            <w:r>
              <w:rPr>
                <w:rFonts w:ascii="Times New Roman" w:hAnsi="Times New Roman"/>
                <w:bCs/>
              </w:rPr>
              <w:t>2 007,5</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A159C0" w:rsidP="00C31586">
            <w:pPr>
              <w:ind w:firstLine="0"/>
              <w:jc w:val="center"/>
              <w:rPr>
                <w:rFonts w:ascii="Times New Roman" w:hAnsi="Times New Roman"/>
                <w:bCs/>
              </w:rPr>
            </w:pPr>
            <w:r>
              <w:rPr>
                <w:rFonts w:ascii="Times New Roman" w:hAnsi="Times New Roman"/>
                <w:lang w:eastAsia="en-US"/>
              </w:rPr>
              <w:t>36 442</w:t>
            </w:r>
            <w:r w:rsidR="00145F17">
              <w:rPr>
                <w:rFonts w:ascii="Times New Roman" w:hAnsi="Times New Roman"/>
                <w:lang w:eastAsia="en-US"/>
              </w:rPr>
              <w:t>,</w:t>
            </w:r>
            <w:r w:rsidR="00A271D1">
              <w:rPr>
                <w:rFonts w:ascii="Times New Roman" w:hAnsi="Times New Roman"/>
                <w:lang w:eastAsia="en-US"/>
              </w:rPr>
              <w:t>6</w:t>
            </w:r>
            <w:r>
              <w:rPr>
                <w:rFonts w:ascii="Times New Roman" w:hAnsi="Times New Roman"/>
                <w:lang w:eastAsia="en-US"/>
              </w:rPr>
              <w:t>8</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A159C0" w:rsidP="008C1FD0">
            <w:pPr>
              <w:ind w:firstLine="0"/>
              <w:jc w:val="center"/>
              <w:rPr>
                <w:rFonts w:ascii="Times New Roman" w:hAnsi="Times New Roman"/>
                <w:bCs/>
              </w:rPr>
            </w:pPr>
            <w:r>
              <w:rPr>
                <w:rFonts w:ascii="Times New Roman" w:hAnsi="Times New Roman"/>
                <w:color w:val="000000"/>
                <w:lang w:eastAsia="en-US"/>
              </w:rPr>
              <w:t>38 450,18</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A159C0" w:rsidP="008C1FD0">
            <w:pPr>
              <w:ind w:firstLine="0"/>
              <w:jc w:val="center"/>
              <w:rPr>
                <w:rFonts w:ascii="Times New Roman" w:hAnsi="Times New Roman"/>
                <w:bCs/>
              </w:rPr>
            </w:pPr>
            <w:r>
              <w:rPr>
                <w:rFonts w:ascii="Times New Roman" w:hAnsi="Times New Roman"/>
                <w:bCs/>
              </w:rPr>
              <w:t>2 007,50</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A159C0" w:rsidP="008C1FD0">
            <w:pPr>
              <w:ind w:firstLine="0"/>
              <w:jc w:val="center"/>
              <w:rPr>
                <w:rFonts w:ascii="Times New Roman" w:hAnsi="Times New Roman"/>
                <w:bCs/>
              </w:rPr>
            </w:pPr>
            <w:r>
              <w:rPr>
                <w:rFonts w:ascii="Times New Roman" w:hAnsi="Times New Roman"/>
                <w:lang w:eastAsia="en-US"/>
              </w:rPr>
              <w:t>36 442,68</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A159C0" w:rsidP="00620A20">
            <w:pPr>
              <w:ind w:firstLine="0"/>
              <w:jc w:val="center"/>
              <w:rPr>
                <w:rFonts w:ascii="Times New Roman" w:hAnsi="Times New Roman"/>
                <w:bCs/>
              </w:rPr>
            </w:pPr>
            <w:r>
              <w:rPr>
                <w:rFonts w:ascii="Times New Roman" w:hAnsi="Times New Roman"/>
                <w:color w:val="000000"/>
                <w:lang w:eastAsia="en-US"/>
              </w:rPr>
              <w:t>33 498,68</w:t>
            </w:r>
            <w:r w:rsidRPr="00893CF8">
              <w:rPr>
                <w:rFonts w:ascii="Times New Roman" w:hAnsi="Times New Roman"/>
                <w:color w:val="000000"/>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001F4917"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A159C0" w:rsidP="00850E35">
            <w:pPr>
              <w:ind w:firstLine="0"/>
              <w:jc w:val="center"/>
              <w:rPr>
                <w:rFonts w:ascii="Times New Roman" w:hAnsi="Times New Roman"/>
                <w:bCs/>
              </w:rPr>
            </w:pPr>
            <w:r>
              <w:rPr>
                <w:rFonts w:ascii="Times New Roman" w:hAnsi="Times New Roman"/>
                <w:bCs/>
              </w:rPr>
              <w:t>2 900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A159C0" w:rsidRPr="00620A20" w:rsidTr="00337A14">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559"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418" w:type="dxa"/>
            <w:tcBorders>
              <w:top w:val="nil"/>
              <w:left w:val="nil"/>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A159C0" w:rsidRPr="00620A20" w:rsidTr="00A159C0">
        <w:trPr>
          <w:trHeight w:val="227"/>
        </w:trPr>
        <w:tc>
          <w:tcPr>
            <w:tcW w:w="2513"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243D21" w:rsidP="00B77F89">
            <w:pPr>
              <w:ind w:firstLine="0"/>
              <w:jc w:val="center"/>
              <w:rPr>
                <w:rFonts w:ascii="Times New Roman" w:hAnsi="Times New Roman"/>
                <w:bCs/>
              </w:rPr>
            </w:pPr>
            <w:r>
              <w:rPr>
                <w:rFonts w:ascii="Times New Roman" w:hAnsi="Times New Roman"/>
                <w:bCs/>
              </w:rPr>
              <w:t>2 051,5</w:t>
            </w:r>
            <w:r w:rsidR="00A271D1">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w:t>
            </w:r>
            <w:r w:rsidR="008C1FD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44</w:t>
            </w:r>
            <w:r w:rsidR="008C1FD0">
              <w:rPr>
                <w:rFonts w:ascii="Times New Roman" w:hAnsi="Times New Roman"/>
                <w:bCs/>
              </w:rPr>
              <w:t>,</w:t>
            </w:r>
            <w:r>
              <w:rPr>
                <w:rFonts w:ascii="Times New Roman" w:hAnsi="Times New Roman"/>
                <w:bCs/>
              </w:rPr>
              <w:t>00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8C1FD0"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243D21" w:rsidP="00B77F89">
            <w:pPr>
              <w:ind w:firstLine="0"/>
              <w:jc w:val="center"/>
              <w:rPr>
                <w:rFonts w:ascii="Times New Roman" w:hAnsi="Times New Roman"/>
                <w:bCs/>
              </w:rPr>
            </w:pPr>
            <w:r>
              <w:rPr>
                <w:rFonts w:ascii="Times New Roman" w:hAnsi="Times New Roman"/>
                <w:bCs/>
              </w:rPr>
              <w:t>2 051,50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44,00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E43133" w:rsidP="00243D21">
      <w:pPr>
        <w:ind w:left="-426"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243D21">
        <w:rPr>
          <w:rFonts w:ascii="Times New Roman" w:hAnsi="Times New Roman"/>
          <w:sz w:val="26"/>
          <w:szCs w:val="26"/>
        </w:rPr>
        <w:t xml:space="preserve">   </w:t>
      </w:r>
      <w:r>
        <w:rPr>
          <w:rFonts w:ascii="Times New Roman" w:hAnsi="Times New Roman"/>
          <w:sz w:val="26"/>
          <w:szCs w:val="26"/>
        </w:rPr>
        <w:t>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619" w:rsidRDefault="00C84619">
      <w:r>
        <w:separator/>
      </w:r>
    </w:p>
  </w:endnote>
  <w:endnote w:type="continuationSeparator" w:id="1">
    <w:p w:rsidR="00C84619" w:rsidRDefault="00C84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619" w:rsidRDefault="00C84619">
      <w:r>
        <w:separator/>
      </w:r>
    </w:p>
  </w:footnote>
  <w:footnote w:type="continuationSeparator" w:id="1">
    <w:p w:rsidR="00C84619" w:rsidRDefault="00C846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557973"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408D"/>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4DC3"/>
    <w:rsid w:val="002177B2"/>
    <w:rsid w:val="00217AFA"/>
    <w:rsid w:val="00222EF5"/>
    <w:rsid w:val="00235D47"/>
    <w:rsid w:val="00236889"/>
    <w:rsid w:val="00236D1B"/>
    <w:rsid w:val="002402EA"/>
    <w:rsid w:val="002405AB"/>
    <w:rsid w:val="00243D21"/>
    <w:rsid w:val="00253D8C"/>
    <w:rsid w:val="00262F23"/>
    <w:rsid w:val="00263EBF"/>
    <w:rsid w:val="00266209"/>
    <w:rsid w:val="00270CBB"/>
    <w:rsid w:val="00277598"/>
    <w:rsid w:val="00282AE7"/>
    <w:rsid w:val="002916A0"/>
    <w:rsid w:val="00294FF0"/>
    <w:rsid w:val="00295EA0"/>
    <w:rsid w:val="002A06EE"/>
    <w:rsid w:val="002B359A"/>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D72E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57973"/>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3A2E"/>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3E95"/>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59C0"/>
    <w:rsid w:val="00A17EE8"/>
    <w:rsid w:val="00A2012A"/>
    <w:rsid w:val="00A23B2F"/>
    <w:rsid w:val="00A271D1"/>
    <w:rsid w:val="00A30A29"/>
    <w:rsid w:val="00A31D05"/>
    <w:rsid w:val="00A346B6"/>
    <w:rsid w:val="00A365E8"/>
    <w:rsid w:val="00A37C78"/>
    <w:rsid w:val="00A40A8C"/>
    <w:rsid w:val="00A413CF"/>
    <w:rsid w:val="00A47D5D"/>
    <w:rsid w:val="00A50FE2"/>
    <w:rsid w:val="00A523F3"/>
    <w:rsid w:val="00A53F8B"/>
    <w:rsid w:val="00A53FDA"/>
    <w:rsid w:val="00A628A0"/>
    <w:rsid w:val="00A63BED"/>
    <w:rsid w:val="00A73BC7"/>
    <w:rsid w:val="00A765AA"/>
    <w:rsid w:val="00A76DFD"/>
    <w:rsid w:val="00A822D9"/>
    <w:rsid w:val="00A86BE1"/>
    <w:rsid w:val="00A91C4E"/>
    <w:rsid w:val="00A9341F"/>
    <w:rsid w:val="00A93612"/>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25A3"/>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77D7E"/>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1D5B"/>
    <w:rsid w:val="00C52F5C"/>
    <w:rsid w:val="00C55691"/>
    <w:rsid w:val="00C622F8"/>
    <w:rsid w:val="00C628C6"/>
    <w:rsid w:val="00C62D0C"/>
    <w:rsid w:val="00C67B77"/>
    <w:rsid w:val="00C71B2D"/>
    <w:rsid w:val="00C80B52"/>
    <w:rsid w:val="00C82949"/>
    <w:rsid w:val="00C8461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0951"/>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28E0"/>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56</TotalTime>
  <Pages>1</Pages>
  <Words>603</Words>
  <Characters>3438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19</cp:revision>
  <cp:lastPrinted>2021-12-27T05:46:00Z</cp:lastPrinted>
  <dcterms:created xsi:type="dcterms:W3CDTF">2022-03-04T09:09:00Z</dcterms:created>
  <dcterms:modified xsi:type="dcterms:W3CDTF">2024-03-13T17:50:00Z</dcterms:modified>
</cp:coreProperties>
</file>