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CE1407" w:rsidP="00C67B77">
            <w:pPr>
              <w:ind w:firstLine="0"/>
              <w:jc w:val="center"/>
              <w:rPr>
                <w:rFonts w:ascii="Times New Roman" w:hAnsi="Times New Roman"/>
              </w:rPr>
            </w:pPr>
            <w:r>
              <w:rPr>
                <w:rFonts w:ascii="Times New Roman" w:hAnsi="Times New Roman"/>
              </w:rPr>
              <w:t>на 2023</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8C1FD0" w:rsidP="00117EF9">
            <w:pPr>
              <w:ind w:firstLine="0"/>
              <w:rPr>
                <w:rFonts w:ascii="Times New Roman" w:hAnsi="Times New Roman"/>
                <w:bCs/>
              </w:rPr>
            </w:pPr>
            <w:r>
              <w:rPr>
                <w:rFonts w:ascii="Times New Roman" w:hAnsi="Times New Roman"/>
                <w:color w:val="000000"/>
                <w:lang w:eastAsia="en-US"/>
              </w:rPr>
              <w:t>32 609,94</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8C1FD0" w:rsidP="00B96D06">
            <w:pPr>
              <w:ind w:firstLine="0"/>
              <w:jc w:val="center"/>
              <w:rPr>
                <w:rFonts w:ascii="Times New Roman" w:hAnsi="Times New Roman"/>
                <w:bCs/>
              </w:rPr>
            </w:pPr>
            <w:r>
              <w:rPr>
                <w:rFonts w:ascii="Times New Roman" w:hAnsi="Times New Roman"/>
                <w:bCs/>
              </w:rPr>
              <w:t>1 979</w:t>
            </w:r>
            <w:r w:rsidR="00117EF9">
              <w:rPr>
                <w:rFonts w:ascii="Times New Roman" w:hAnsi="Times New Roman"/>
                <w:bCs/>
              </w:rPr>
              <w:t>,7</w:t>
            </w:r>
            <w:r w:rsidR="00620A20">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8C1FD0" w:rsidP="00C31586">
            <w:pPr>
              <w:ind w:firstLine="0"/>
              <w:jc w:val="center"/>
              <w:rPr>
                <w:rFonts w:ascii="Times New Roman" w:hAnsi="Times New Roman"/>
                <w:bCs/>
              </w:rPr>
            </w:pPr>
            <w:r>
              <w:rPr>
                <w:rFonts w:ascii="Times New Roman" w:hAnsi="Times New Roman"/>
                <w:lang w:eastAsia="en-US"/>
              </w:rPr>
              <w:t>30 630</w:t>
            </w:r>
            <w:r w:rsidR="00145F17">
              <w:rPr>
                <w:rFonts w:ascii="Times New Roman" w:hAnsi="Times New Roman"/>
                <w:lang w:eastAsia="en-US"/>
              </w:rPr>
              <w:t>,</w:t>
            </w:r>
            <w:r>
              <w:rPr>
                <w:rFonts w:ascii="Times New Roman" w:hAnsi="Times New Roman"/>
                <w:lang w:eastAsia="en-US"/>
              </w:rPr>
              <w:t>24</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8C1FD0" w:rsidP="008C1FD0">
            <w:pPr>
              <w:ind w:firstLine="0"/>
              <w:jc w:val="center"/>
              <w:rPr>
                <w:rFonts w:ascii="Times New Roman" w:hAnsi="Times New Roman"/>
                <w:bCs/>
              </w:rPr>
            </w:pPr>
            <w:r>
              <w:rPr>
                <w:rFonts w:ascii="Times New Roman" w:hAnsi="Times New Roman"/>
                <w:color w:val="000000"/>
                <w:lang w:eastAsia="en-US"/>
              </w:rPr>
              <w:t>32 609,94</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1 979,70</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lang w:eastAsia="en-US"/>
              </w:rPr>
              <w:t>30 630,24</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8C1FD0" w:rsidP="00620A20">
            <w:pPr>
              <w:ind w:firstLine="0"/>
              <w:jc w:val="center"/>
              <w:rPr>
                <w:rFonts w:ascii="Times New Roman" w:hAnsi="Times New Roman"/>
                <w:bCs/>
              </w:rPr>
            </w:pPr>
            <w:r>
              <w:rPr>
                <w:rFonts w:ascii="Times New Roman" w:hAnsi="Times New Roman"/>
                <w:bCs/>
              </w:rPr>
              <w:t>29 851</w:t>
            </w:r>
            <w:r w:rsidR="00402839" w:rsidRPr="00620A20">
              <w:rPr>
                <w:rFonts w:ascii="Times New Roman" w:hAnsi="Times New Roman"/>
                <w:bCs/>
              </w:rPr>
              <w:t>,</w:t>
            </w:r>
            <w:r>
              <w:rPr>
                <w:rFonts w:ascii="Times New Roman" w:hAnsi="Times New Roman"/>
                <w:bCs/>
              </w:rPr>
              <w:t>85</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8C1FD0" w:rsidP="00620A20">
            <w:pPr>
              <w:ind w:firstLine="0"/>
              <w:jc w:val="center"/>
              <w:rPr>
                <w:rFonts w:ascii="Times New Roman" w:hAnsi="Times New Roman"/>
                <w:bCs/>
              </w:rPr>
            </w:pPr>
            <w:r>
              <w:rPr>
                <w:rFonts w:ascii="Times New Roman" w:hAnsi="Times New Roman"/>
                <w:bCs/>
              </w:rPr>
              <w:t>29 851</w:t>
            </w:r>
            <w:r w:rsidRPr="00620A20">
              <w:rPr>
                <w:rFonts w:ascii="Times New Roman" w:hAnsi="Times New Roman"/>
                <w:bCs/>
              </w:rPr>
              <w:t>,</w:t>
            </w:r>
            <w:r>
              <w:rPr>
                <w:rFonts w:ascii="Times New Roman" w:hAnsi="Times New Roman"/>
                <w:bCs/>
              </w:rPr>
              <w:t>85</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8C1FD0" w:rsidP="00620A20">
            <w:pPr>
              <w:ind w:firstLine="0"/>
              <w:jc w:val="center"/>
              <w:rPr>
                <w:rFonts w:ascii="Times New Roman" w:hAnsi="Times New Roman"/>
                <w:bCs/>
              </w:rPr>
            </w:pPr>
            <w:r>
              <w:rPr>
                <w:rFonts w:ascii="Times New Roman" w:hAnsi="Times New Roman"/>
                <w:bCs/>
              </w:rPr>
              <w:t>29 851</w:t>
            </w:r>
            <w:r w:rsidRPr="00620A20">
              <w:rPr>
                <w:rFonts w:ascii="Times New Roman" w:hAnsi="Times New Roman"/>
                <w:bCs/>
              </w:rPr>
              <w:t>,</w:t>
            </w:r>
            <w:r>
              <w:rPr>
                <w:rFonts w:ascii="Times New Roman" w:hAnsi="Times New Roman"/>
                <w:bCs/>
              </w:rPr>
              <w:t>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8C1FD0" w:rsidP="00620A20">
            <w:pPr>
              <w:ind w:firstLine="0"/>
              <w:jc w:val="center"/>
              <w:rPr>
                <w:rFonts w:ascii="Times New Roman" w:hAnsi="Times New Roman"/>
                <w:bCs/>
              </w:rPr>
            </w:pPr>
            <w:r>
              <w:rPr>
                <w:rFonts w:ascii="Times New Roman" w:hAnsi="Times New Roman"/>
                <w:bCs/>
              </w:rPr>
              <w:t>29 851</w:t>
            </w:r>
            <w:r w:rsidRPr="00620A20">
              <w:rPr>
                <w:rFonts w:ascii="Times New Roman" w:hAnsi="Times New Roman"/>
                <w:bCs/>
              </w:rPr>
              <w:t>,</w:t>
            </w:r>
            <w:r>
              <w:rPr>
                <w:rFonts w:ascii="Times New Roman" w:hAnsi="Times New Roman"/>
                <w:bCs/>
              </w:rPr>
              <w:t>85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1F4917" w:rsidP="00850E35">
            <w:pPr>
              <w:ind w:firstLine="0"/>
              <w:jc w:val="center"/>
              <w:rPr>
                <w:rFonts w:ascii="Times New Roman" w:hAnsi="Times New Roman"/>
                <w:bCs/>
              </w:rPr>
            </w:pPr>
            <w:r>
              <w:rPr>
                <w:rFonts w:ascii="Times New Roman" w:hAnsi="Times New Roman"/>
                <w:bCs/>
              </w:rPr>
              <w:t>737</w:t>
            </w:r>
            <w:r w:rsidRPr="00620A20">
              <w:rPr>
                <w:rFonts w:ascii="Times New Roman" w:hAnsi="Times New Roman"/>
                <w:bCs/>
              </w:rPr>
              <w:t>,</w:t>
            </w:r>
            <w:r>
              <w:rPr>
                <w:rFonts w:ascii="Times New Roman" w:hAnsi="Times New Roman"/>
                <w:bCs/>
              </w:rPr>
              <w:t>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737</w:t>
            </w:r>
            <w:r w:rsidRPr="00620A20">
              <w:rPr>
                <w:rFonts w:ascii="Times New Roman" w:hAnsi="Times New Roman"/>
                <w:bCs/>
              </w:rPr>
              <w:t>,</w:t>
            </w:r>
            <w:r>
              <w:rPr>
                <w:rFonts w:ascii="Times New Roman" w:hAnsi="Times New Roman"/>
                <w:bCs/>
              </w:rPr>
              <w:t>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jc w:val="center"/>
              <w:rPr>
                <w:rFonts w:ascii="Times New Roman" w:hAnsi="Times New Roman"/>
                <w:bCs/>
              </w:rPr>
            </w:pPr>
            <w:r>
              <w:rPr>
                <w:rFonts w:ascii="Times New Roman" w:hAnsi="Times New Roman"/>
                <w:bCs/>
              </w:rPr>
              <w:t>737</w:t>
            </w:r>
            <w:r w:rsidRPr="00620A20">
              <w:rPr>
                <w:rFonts w:ascii="Times New Roman" w:hAnsi="Times New Roman"/>
                <w:bCs/>
              </w:rPr>
              <w:t>,</w:t>
            </w:r>
            <w:r>
              <w:rPr>
                <w:rFonts w:ascii="Times New Roman" w:hAnsi="Times New Roman"/>
                <w:bCs/>
              </w:rPr>
              <w:t>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737</w:t>
            </w:r>
            <w:r w:rsidRPr="00620A20">
              <w:rPr>
                <w:rFonts w:ascii="Times New Roman" w:hAnsi="Times New Roman"/>
                <w:bCs/>
              </w:rPr>
              <w:t>,</w:t>
            </w:r>
            <w:r>
              <w:rPr>
                <w:rFonts w:ascii="Times New Roman" w:hAnsi="Times New Roman"/>
                <w:bCs/>
              </w:rPr>
              <w:t>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8C1FD0" w:rsidRPr="00620A20"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Default="008C1FD0" w:rsidP="008C1FD0">
            <w:pPr>
              <w:ind w:right="-108" w:firstLine="0"/>
              <w:jc w:val="center"/>
            </w:pPr>
            <w:r w:rsidRPr="005D0BCC">
              <w:rPr>
                <w:rFonts w:ascii="Times New Roman" w:hAnsi="Times New Roman"/>
                <w:bCs/>
              </w:rPr>
              <w:t>0,00</w:t>
            </w:r>
          </w:p>
        </w:tc>
        <w:tc>
          <w:tcPr>
            <w:tcW w:w="1559" w:type="dxa"/>
            <w:tcBorders>
              <w:top w:val="nil"/>
              <w:left w:val="nil"/>
              <w:bottom w:val="single" w:sz="4" w:space="0" w:color="auto"/>
              <w:right w:val="single" w:sz="4" w:space="0" w:color="auto"/>
            </w:tcBorders>
            <w:shd w:val="clear" w:color="auto" w:fill="auto"/>
            <w:vAlign w:val="center"/>
            <w:hideMark/>
          </w:tcPr>
          <w:p w:rsidR="008C1FD0" w:rsidRDefault="008C1FD0" w:rsidP="008C1FD0">
            <w:pPr>
              <w:ind w:firstLine="34"/>
              <w:jc w:val="center"/>
            </w:pPr>
            <w:r w:rsidRPr="005D0BCC">
              <w:rPr>
                <w:rFonts w:ascii="Times New Roman" w:hAnsi="Times New Roman"/>
                <w:bCs/>
              </w:rPr>
              <w:t>0,00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8C1FD0" w:rsidRPr="00620A20" w:rsidTr="008C1FD0">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Default="008C1FD0" w:rsidP="008C1FD0">
            <w:pPr>
              <w:ind w:firstLine="0"/>
              <w:jc w:val="center"/>
            </w:pPr>
            <w:r w:rsidRPr="005D0BCC">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Default="008C1FD0" w:rsidP="008C1FD0">
            <w:pPr>
              <w:ind w:firstLine="34"/>
              <w:jc w:val="center"/>
            </w:pPr>
            <w:r w:rsidRPr="005D0BCC">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8C1FD0" w:rsidP="00B77F89">
            <w:pPr>
              <w:ind w:firstLine="0"/>
              <w:jc w:val="center"/>
              <w:rPr>
                <w:rFonts w:ascii="Times New Roman" w:hAnsi="Times New Roman"/>
                <w:bCs/>
              </w:rPr>
            </w:pPr>
            <w:r>
              <w:rPr>
                <w:rFonts w:ascii="Times New Roman" w:hAnsi="Times New Roman"/>
                <w:bCs/>
              </w:rPr>
              <w:t>2 020,10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1 979,70</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40,4</w:t>
            </w:r>
            <w:r w:rsidRPr="00620A20">
              <w:rPr>
                <w:rFonts w:ascii="Times New Roman" w:hAnsi="Times New Roman"/>
                <w:bCs/>
              </w:rPr>
              <w:t>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8C1FD0"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r>
              <w:rPr>
                <w:rFonts w:ascii="Times New Roman" w:hAnsi="Times New Roman"/>
                <w:bCs/>
              </w:rPr>
              <w:t>2 020,10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1 979,70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Pr>
                <w:rFonts w:ascii="Times New Roman" w:hAnsi="Times New Roman"/>
                <w:bCs/>
              </w:rPr>
              <w:t>40,4</w:t>
            </w:r>
            <w:r w:rsidRPr="00620A20">
              <w:rPr>
                <w:rFonts w:ascii="Times New Roman" w:hAnsi="Times New Roman"/>
                <w:bCs/>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E43133">
      <w:pPr>
        <w:ind w:left="-426" w:firstLine="0"/>
        <w:rPr>
          <w:rFonts w:ascii="Times New Roman" w:hAnsi="Times New Roman"/>
          <w:sz w:val="26"/>
          <w:szCs w:val="26"/>
        </w:rPr>
      </w:pPr>
      <w:r>
        <w:rPr>
          <w:rFonts w:ascii="Times New Roman" w:hAnsi="Times New Roman"/>
          <w:sz w:val="26"/>
          <w:szCs w:val="26"/>
        </w:rPr>
        <w:t xml:space="preserve">Глава Павловского </w:t>
      </w:r>
    </w:p>
    <w:p w:rsidR="00E43133" w:rsidRDefault="00E43133" w:rsidP="00E43133">
      <w:pPr>
        <w:ind w:right="-199" w:hanging="426"/>
        <w:rPr>
          <w:rFonts w:ascii="Times New Roman" w:hAnsi="Times New Roman"/>
          <w:sz w:val="26"/>
          <w:szCs w:val="26"/>
        </w:rPr>
      </w:pPr>
      <w:r>
        <w:rPr>
          <w:rFonts w:ascii="Times New Roman" w:hAnsi="Times New Roman"/>
          <w:sz w:val="26"/>
          <w:szCs w:val="26"/>
        </w:rPr>
        <w:t>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3EBF" w:rsidRDefault="00263EBF">
      <w:r>
        <w:separator/>
      </w:r>
    </w:p>
  </w:endnote>
  <w:endnote w:type="continuationSeparator" w:id="1">
    <w:p w:rsidR="00263EBF" w:rsidRDefault="00263E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3EBF" w:rsidRDefault="00263EBF">
      <w:r>
        <w:separator/>
      </w:r>
    </w:p>
  </w:footnote>
  <w:footnote w:type="continuationSeparator" w:id="1">
    <w:p w:rsidR="00263EBF" w:rsidRDefault="00263E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8A3A79"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3475"/>
    <w:rsid w:val="000A52DE"/>
    <w:rsid w:val="000A664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77B2"/>
    <w:rsid w:val="00217AFA"/>
    <w:rsid w:val="00222EF5"/>
    <w:rsid w:val="00235D47"/>
    <w:rsid w:val="00236889"/>
    <w:rsid w:val="00236D1B"/>
    <w:rsid w:val="002402EA"/>
    <w:rsid w:val="002405AB"/>
    <w:rsid w:val="00253D8C"/>
    <w:rsid w:val="00262F23"/>
    <w:rsid w:val="00263EBF"/>
    <w:rsid w:val="00266209"/>
    <w:rsid w:val="00270CBB"/>
    <w:rsid w:val="00277598"/>
    <w:rsid w:val="00282AE7"/>
    <w:rsid w:val="002916A0"/>
    <w:rsid w:val="00294FF0"/>
    <w:rsid w:val="00295EA0"/>
    <w:rsid w:val="002A06EE"/>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E18AF"/>
    <w:rsid w:val="004E3CA3"/>
    <w:rsid w:val="004E3D69"/>
    <w:rsid w:val="004E6F74"/>
    <w:rsid w:val="004F0030"/>
    <w:rsid w:val="004F11AD"/>
    <w:rsid w:val="0050216A"/>
    <w:rsid w:val="005030D8"/>
    <w:rsid w:val="005116D0"/>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F12D9"/>
    <w:rsid w:val="006F214B"/>
    <w:rsid w:val="006F289A"/>
    <w:rsid w:val="006F58D7"/>
    <w:rsid w:val="006F7C3A"/>
    <w:rsid w:val="00700377"/>
    <w:rsid w:val="00702123"/>
    <w:rsid w:val="007031FF"/>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51AA4"/>
    <w:rsid w:val="008530BB"/>
    <w:rsid w:val="008533D7"/>
    <w:rsid w:val="0085491A"/>
    <w:rsid w:val="008616BA"/>
    <w:rsid w:val="00864A09"/>
    <w:rsid w:val="0086534F"/>
    <w:rsid w:val="008657B5"/>
    <w:rsid w:val="00870802"/>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7EE8"/>
    <w:rsid w:val="00A2012A"/>
    <w:rsid w:val="00A23B2F"/>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3BC7"/>
    <w:rsid w:val="00A765AA"/>
    <w:rsid w:val="00A76DFD"/>
    <w:rsid w:val="00A822D9"/>
    <w:rsid w:val="00A86BE1"/>
    <w:rsid w:val="00A91C4E"/>
    <w:rsid w:val="00A9341F"/>
    <w:rsid w:val="00A93612"/>
    <w:rsid w:val="00A949A0"/>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61E05"/>
    <w:rsid w:val="00E6299F"/>
    <w:rsid w:val="00E714EC"/>
    <w:rsid w:val="00E7178D"/>
    <w:rsid w:val="00E738D5"/>
    <w:rsid w:val="00E84AA8"/>
    <w:rsid w:val="00E909CA"/>
    <w:rsid w:val="00E92FC3"/>
    <w:rsid w:val="00E9369C"/>
    <w:rsid w:val="00EA41AE"/>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29</TotalTime>
  <Pages>1</Pages>
  <Words>600</Words>
  <Characters>3421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9</cp:revision>
  <cp:lastPrinted>2021-12-27T05:46:00Z</cp:lastPrinted>
  <dcterms:created xsi:type="dcterms:W3CDTF">2022-03-04T09:09:00Z</dcterms:created>
  <dcterms:modified xsi:type="dcterms:W3CDTF">2023-03-14T10:31:00Z</dcterms:modified>
</cp:coreProperties>
</file>